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after="840"/>
      </w:pPr>
    </w:p>
    <w:p>
      <w:pPr>
        <w:spacing w:after="1440"/>
        <w:jc w:val="center"/>
      </w:pPr>
      <w:r>
        <w:rPr>
          <w:rFonts w:ascii="Roboto" w:hAnsi="Roboto" w:eastAsia="Roboto" w:cs="Roboto"/>
        </w:rPr>
        <w:drawing>
          <wp:inline>
            <wp:extent cx="1828800" cy="607391"/>
            <wp:docPr id="1" name="Picture 1"/>
            <wp:cNvGraphicFramePr>
              <a:graphicFrameLocks noChangeAspect="1"/>
            </wp:cNvGraphicFramePr>
            <a:graphic>
              <a:graphicData uri="http://schemas.openxmlformats.org/drawingml/2006/picture">
                <pic:pic>
                  <pic:nvPicPr>
                    <pic:cNvPr id="0" name="sqx_logo.png"/>
                    <pic:cNvPicPr/>
                  </pic:nvPicPr>
                  <pic:blipFill>
                    <a:blip r:embed="rId9"/>
                    <a:stretch>
                      <a:fillRect/>
                    </a:stretch>
                  </pic:blipFill>
                  <pic:spPr>
                    <a:xfrm>
                      <a:off x="0" y="0"/>
                      <a:ext cx="1828800" cy="607391"/>
                    </a:xfrm>
                    <a:prstGeom prst="rect"/>
                  </pic:spPr>
                </pic:pic>
              </a:graphicData>
            </a:graphic>
          </wp:inline>
        </w:drawing>
      </w:r>
    </w:p>
    <w:p>
      <w:pPr>
        <w:spacing w:after="0"/>
        <w:jc w:val="center"/>
      </w:pPr>
      <w:r>
        <w:rPr>
          <w:rFonts w:ascii="Roboto" w:hAnsi="Roboto" w:eastAsia="Roboto" w:cs="Roboto"/>
          <w:b/>
          <w:color w:val="005287"/>
          <w:sz w:val="64"/>
        </w:rPr>
        <w:t>SQX Portfolio Holdings: Technical Methodology</w:t>
      </w:r>
    </w:p>
    <w:p>
      <w:r>
        <w:rPr>
          <w:rFonts w:ascii="Roboto" w:hAnsi="Roboto" w:eastAsia="Roboto" w:cs="Roboto"/>
        </w:rPr>
        <w:br w:type="page"/>
      </w:r>
    </w:p>
    <w:p>
      <w:pPr>
        <w:pStyle w:val="Heading1"/>
      </w:pPr>
      <w:r>
        <w:rPr>
          <w:rFonts w:ascii="Roboto" w:hAnsi="Roboto" w:eastAsia="Roboto" w:cs="Roboto"/>
        </w:rPr>
        <w:t>Document History</w:t>
      </w:r>
    </w:p>
    <w:tbl>
      <w:tblPr>
        <w:tblW w:type="auto" w:w="0"/>
        <w:jc w:val="left"/>
        <w:tblLook w:firstColumn="1" w:firstRow="1" w:lastColumn="0" w:lastRow="0" w:noHBand="0" w:noVBand="1" w:val="04A0"/>
        <w:tblBorders>
          <w:top w:val="single" w:sz="4" w:space="0" w:color="DDE1E8"/>
          <w:left w:val="single" w:sz="4" w:space="0" w:color="DDE1E8"/>
          <w:bottom w:val="single" w:sz="4" w:space="0" w:color="DDE1E8"/>
          <w:right w:val="single" w:sz="4" w:space="0" w:color="DDE1E8"/>
          <w:insideH w:val="single" w:sz="4" w:space="0" w:color="DDE1E8"/>
          <w:insideV w:val="single" w:sz="4" w:space="0" w:color="DDE1E8"/>
        </w:tblBorders>
      </w:tblPr>
      <w:tblGrid>
        <w:gridCol w:w="2340"/>
        <w:gridCol w:w="2340"/>
        <w:gridCol w:w="2340"/>
        <w:gridCol w:w="2340"/>
      </w:tblGrid>
      <w:tr>
        <w:trPr>
          <w:tblHeader w:val="true"/>
        </w:trPr>
        <w:tc>
          <w:tcPr>
            <w:tcW w:type="dxa" w:w="1296"/>
            <w:vAlign w:val="center"/>
            <w:shd w:val="clear" w:color="auto" w:fill="005287"/>
          </w:tcPr>
          <w:p>
            <w:r>
              <w:rPr>
                <w:rFonts w:ascii="Roboto" w:hAnsi="Roboto" w:eastAsia="Roboto" w:cs="Roboto"/>
                <w:b/>
                <w:color w:val="FFFFFF"/>
                <w:sz w:val="18"/>
              </w:rPr>
              <w:t>Version</w:t>
            </w:r>
          </w:p>
        </w:tc>
        <w:tc>
          <w:tcPr>
            <w:tcW w:type="dxa" w:w="1656"/>
            <w:vAlign w:val="center"/>
            <w:shd w:val="clear" w:color="auto" w:fill="005287"/>
          </w:tcPr>
          <w:p>
            <w:r>
              <w:rPr>
                <w:rFonts w:ascii="Roboto" w:hAnsi="Roboto" w:eastAsia="Roboto" w:cs="Roboto"/>
                <w:b/>
                <w:color w:val="FFFFFF"/>
                <w:sz w:val="18"/>
              </w:rPr>
              <w:t>Date</w:t>
            </w:r>
          </w:p>
        </w:tc>
        <w:tc>
          <w:tcPr>
            <w:tcW w:type="dxa" w:w="4824"/>
            <w:vAlign w:val="center"/>
            <w:shd w:val="clear" w:color="auto" w:fill="005287"/>
          </w:tcPr>
          <w:p>
            <w:r>
              <w:rPr>
                <w:rFonts w:ascii="Roboto" w:hAnsi="Roboto" w:eastAsia="Roboto" w:cs="Roboto"/>
                <w:b/>
                <w:color w:val="FFFFFF"/>
                <w:sz w:val="18"/>
              </w:rPr>
              <w:t>Description of Changes</w:t>
            </w:r>
          </w:p>
        </w:tc>
        <w:tc>
          <w:tcPr>
            <w:tcW w:type="dxa" w:w="1584"/>
            <w:vAlign w:val="center"/>
            <w:shd w:val="clear" w:color="auto" w:fill="005287"/>
          </w:tcPr>
          <w:p>
            <w:r>
              <w:rPr>
                <w:rFonts w:ascii="Roboto" w:hAnsi="Roboto" w:eastAsia="Roboto" w:cs="Roboto"/>
                <w:b/>
                <w:color w:val="FFFFFF"/>
                <w:sz w:val="18"/>
              </w:rPr>
              <w:t>Updated By</w:t>
            </w:r>
          </w:p>
        </w:tc>
      </w:tr>
      <w:tr>
        <w:tc>
          <w:tcPr>
            <w:tcW w:type="dxa" w:w="1296"/>
            <w:vAlign w:val="top"/>
          </w:tcPr>
          <w:p>
            <w:pPr>
              <w:spacing w:after="0"/>
            </w:pPr>
            <w:r>
              <w:rPr>
                <w:rFonts w:ascii="Roboto" w:hAnsi="Roboto" w:eastAsia="Roboto" w:cs="Roboto"/>
                <w:sz w:val="18"/>
              </w:rPr>
              <w:t>V1.00</w:t>
            </w:r>
          </w:p>
        </w:tc>
        <w:tc>
          <w:tcPr>
            <w:tcW w:type="dxa" w:w="1656"/>
            <w:vAlign w:val="top"/>
          </w:tcPr>
          <w:p>
            <w:pPr>
              <w:spacing w:after="0"/>
            </w:pPr>
            <w:r>
              <w:rPr>
                <w:rFonts w:ascii="Roboto" w:hAnsi="Roboto" w:eastAsia="Roboto" w:cs="Roboto"/>
                <w:sz w:val="18"/>
              </w:rPr>
              <w:t>2026-08-14</w:t>
            </w:r>
          </w:p>
        </w:tc>
        <w:tc>
          <w:tcPr>
            <w:tcW w:type="dxa" w:w="4824"/>
            <w:vAlign w:val="top"/>
          </w:tcPr>
          <w:p>
            <w:pPr>
              <w:spacing w:after="0"/>
            </w:pPr>
            <w:r>
              <w:rPr>
                <w:rFonts w:ascii="Roboto" w:hAnsi="Roboto" w:eastAsia="Roboto" w:cs="Roboto"/>
                <w:sz w:val="18"/>
              </w:rPr>
              <w:t>Initial published version, generated from the feed SSOTs</w:t>
            </w:r>
          </w:p>
        </w:tc>
        <w:tc>
          <w:tcPr>
            <w:tcW w:type="dxa" w:w="1584"/>
            <w:vAlign w:val="top"/>
          </w:tcPr>
          <w:p>
            <w:pPr>
              <w:spacing w:after="0"/>
            </w:pPr>
            <w:r>
              <w:rPr>
                <w:rFonts w:ascii="Roboto" w:hAnsi="Roboto" w:eastAsia="Roboto" w:cs="Roboto"/>
                <w:sz w:val="18"/>
              </w:rPr>
              <w:t>Todd Spencer</w:t>
            </w:r>
          </w:p>
        </w:tc>
      </w:tr>
      <w:tr>
        <w:tc>
          <w:tcPr>
            <w:tcW w:type="dxa" w:w="1296"/>
            <w:vAlign w:val="top"/>
          </w:tcPr>
          <w:p>
            <w:pPr>
              <w:spacing w:after="0"/>
            </w:pPr>
            <w:r>
              <w:rPr>
                <w:rFonts w:ascii="Roboto" w:hAnsi="Roboto" w:eastAsia="Roboto" w:cs="Roboto"/>
                <w:sz w:val="18"/>
              </w:rPr>
              <w:t>V1.10</w:t>
            </w:r>
          </w:p>
        </w:tc>
        <w:tc>
          <w:tcPr>
            <w:tcW w:type="dxa" w:w="1656"/>
            <w:vAlign w:val="top"/>
          </w:tcPr>
          <w:p>
            <w:pPr>
              <w:spacing w:after="0"/>
            </w:pPr>
            <w:r>
              <w:rPr>
                <w:rFonts w:ascii="Roboto" w:hAnsi="Roboto" w:eastAsia="Roboto" w:cs="Roboto"/>
                <w:sz w:val="18"/>
              </w:rPr>
              <w:t>2026-08-17</w:t>
            </w:r>
          </w:p>
        </w:tc>
        <w:tc>
          <w:tcPr>
            <w:tcW w:type="dxa" w:w="4824"/>
            <w:vAlign w:val="top"/>
          </w:tcPr>
          <w:p>
            <w:pPr>
              <w:spacing w:after="0"/>
            </w:pPr>
            <w:r>
              <w:rPr>
                <w:rFonts w:ascii="Roboto" w:hAnsi="Roboto" w:eastAsia="Roboto" w:cs="Roboto"/>
                <w:sz w:val="18"/>
              </w:rPr>
              <w:t>File renamed portfolio_holdings_YYYYMMDD; holding_id is the position's ISIN and holding_id_type is removed; portfolio_name, num_shares and num_shares_change_percent added</w:t>
            </w:r>
          </w:p>
        </w:tc>
        <w:tc>
          <w:tcPr>
            <w:tcW w:type="dxa" w:w="1584"/>
            <w:vAlign w:val="top"/>
          </w:tcPr>
          <w:p>
            <w:pPr>
              <w:spacing w:after="0"/>
            </w:pPr>
            <w:r>
              <w:rPr>
                <w:rFonts w:ascii="Roboto" w:hAnsi="Roboto" w:eastAsia="Roboto" w:cs="Roboto"/>
                <w:sz w:val="18"/>
              </w:rPr>
              <w:t>Todd Spencer</w:t>
            </w:r>
          </w:p>
        </w:tc>
      </w:tr>
      <w:tr>
        <w:tc>
          <w:tcPr>
            <w:tcW w:type="dxa" w:w="1296"/>
            <w:vAlign w:val="top"/>
          </w:tcPr>
          <w:p>
            <w:pPr>
              <w:spacing w:after="0"/>
            </w:pPr>
            <w:r>
              <w:rPr>
                <w:rFonts w:ascii="Roboto" w:hAnsi="Roboto" w:eastAsia="Roboto" w:cs="Roboto"/>
                <w:sz w:val="18"/>
              </w:rPr>
              <w:t>V1.20</w:t>
            </w:r>
          </w:p>
        </w:tc>
        <w:tc>
          <w:tcPr>
            <w:tcW w:type="dxa" w:w="1656"/>
            <w:vAlign w:val="top"/>
          </w:tcPr>
          <w:p>
            <w:pPr>
              <w:spacing w:after="0"/>
            </w:pPr>
            <w:r>
              <w:rPr>
                <w:rFonts w:ascii="Roboto" w:hAnsi="Roboto" w:eastAsia="Roboto" w:cs="Roboto"/>
                <w:sz w:val="18"/>
              </w:rPr>
              <w:t>2026-08-20</w:t>
            </w:r>
          </w:p>
        </w:tc>
        <w:tc>
          <w:tcPr>
            <w:tcW w:type="dxa" w:w="4824"/>
            <w:vAlign w:val="top"/>
          </w:tcPr>
          <w:p>
            <w:pPr>
              <w:spacing w:after="0"/>
            </w:pPr>
            <w:r>
              <w:rPr>
                <w:rFonts w:ascii="Roboto" w:hAnsi="Roboto" w:eastAsia="Roboto" w:cs="Roboto"/>
                <w:sz w:val="18"/>
              </w:rPr>
              <w:t>Position value is published in its source currency beside holding_value_currency and the applicable fx_rate</w:t>
            </w:r>
          </w:p>
        </w:tc>
        <w:tc>
          <w:tcPr>
            <w:tcW w:type="dxa" w:w="1584"/>
            <w:vAlign w:val="top"/>
          </w:tcPr>
          <w:p>
            <w:pPr>
              <w:spacing w:after="0"/>
            </w:pPr>
            <w:r>
              <w:rPr>
                <w:rFonts w:ascii="Roboto" w:hAnsi="Roboto" w:eastAsia="Roboto" w:cs="Roboto"/>
                <w:sz w:val="18"/>
              </w:rPr>
              <w:t>Todd Spencer</w:t>
            </w:r>
          </w:p>
        </w:tc>
      </w:tr>
      <w:tr>
        <w:tc>
          <w:tcPr>
            <w:tcW w:type="dxa" w:w="1296"/>
            <w:vAlign w:val="top"/>
          </w:tcPr>
          <w:p>
            <w:pPr>
              <w:spacing w:after="0"/>
            </w:pPr>
            <w:r>
              <w:rPr>
                <w:rFonts w:ascii="Roboto" w:hAnsi="Roboto" w:eastAsia="Roboto" w:cs="Roboto"/>
                <w:sz w:val="18"/>
              </w:rPr>
              <w:t>V1.30</w:t>
            </w:r>
          </w:p>
        </w:tc>
        <w:tc>
          <w:tcPr>
            <w:tcW w:type="dxa" w:w="1656"/>
            <w:vAlign w:val="top"/>
          </w:tcPr>
          <w:p>
            <w:pPr>
              <w:spacing w:after="0"/>
            </w:pPr>
            <w:r>
              <w:rPr>
                <w:rFonts w:ascii="Roboto" w:hAnsi="Roboto" w:eastAsia="Roboto" w:cs="Roboto"/>
                <w:sz w:val="18"/>
              </w:rPr>
              <w:t>2026-09-03</w:t>
            </w:r>
          </w:p>
        </w:tc>
        <w:tc>
          <w:tcPr>
            <w:tcW w:type="dxa" w:w="4824"/>
            <w:vAlign w:val="top"/>
          </w:tcPr>
          <w:p>
            <w:pPr>
              <w:spacing w:after="0"/>
            </w:pPr>
            <w:r>
              <w:rPr>
                <w:rFonts w:ascii="Roboto" w:hAnsi="Roboto" w:eastAsia="Roboto" w:cs="Roboto"/>
                <w:sz w:val="18"/>
              </w:rPr>
              <w:t>holding_id renamed holding_isin — the position's ISIN under the name that says so, beside fund_isin on every share-class file</w:t>
            </w:r>
          </w:p>
        </w:tc>
        <w:tc>
          <w:tcPr>
            <w:tcW w:type="dxa" w:w="1584"/>
            <w:vAlign w:val="top"/>
          </w:tcPr>
          <w:p>
            <w:pPr>
              <w:spacing w:after="0"/>
            </w:pPr>
            <w:r>
              <w:rPr>
                <w:rFonts w:ascii="Roboto" w:hAnsi="Roboto" w:eastAsia="Roboto" w:cs="Roboto"/>
                <w:sz w:val="18"/>
              </w:rPr>
              <w:t>Todd Spencer</w:t>
            </w:r>
          </w:p>
        </w:tc>
      </w:tr>
    </w:tbl>
    <w:p/>
    <w:p>
      <w:pPr>
        <w:pStyle w:val="Heading1"/>
      </w:pPr>
      <w:r>
        <w:rPr>
          <w:rFonts w:ascii="Roboto" w:hAnsi="Roboto" w:eastAsia="Roboto" w:cs="Roboto"/>
        </w:rPr>
        <w:t>Privacy Notice</w:t>
      </w:r>
    </w:p>
    <w:p>
      <w:r>
        <w:rPr>
          <w:rFonts w:ascii="Roboto" w:hAnsi="Roboto" w:eastAsia="Roboto" w:cs="Roboto"/>
        </w:rPr>
        <w:t>This document contains proprietary SQX methodology and is provided for the recipient's use. Protect it from unauthorized distribution, reproduction, or disclosure.</w:t>
      </w:r>
    </w:p>
    <w:p>
      <w:r>
        <w:rPr>
          <w:rFonts w:ascii="Roboto" w:hAnsi="Roboto" w:eastAsia="Roboto" w:cs="Roboto"/>
        </w:rPr>
        <w:br w:type="page"/>
      </w:r>
    </w:p>
    <w:bookmarkStart w:id="30" w:name="Xf3177c34488edc342831f61d4d8143fa1a6e3a7"/>
    <w:p>
      <w:pPr>
        <w:pStyle w:val="Title"/>
        <w:jc w:val="center"/>
      </w:pPr>
      <w:r>
        <w:rPr>
          <w:rFonts w:ascii="Roboto" w:hAnsi="Roboto" w:eastAsia="Roboto" w:cs="Roboto"/>
        </w:rPr>
        <w:t xml:space="preserve">SQX Portfolio Holdings: Technical Methodology</w:t>
      </w:r>
    </w:p>
    <w:p>
      <w:pPr>
        <w:pStyle w:val="FirstParagraph"/>
      </w:pPr>
      <w:r>
        <w:rPr>
          <w:rFonts w:ascii="Roboto" w:hAnsi="Roboto" w:eastAsia="Roboto" w:cs="Roboto"/>
        </w:rPr>
        <w:t xml:space="preserve">SQX Portfolio Holdings begins with the latest qualifying holdings report per portfolio and updates reported weights through</w:t>
      </w:r>
      <w:r>
        <w:rPr>
          <w:rFonts w:ascii="Roboto" w:hAnsi="Roboto" w:eastAsia="Roboto" w:cs="Roboto"/>
        </w:rPr>
        <w:t xml:space="preserve"> </w:t>
      </w:r>
      <w:r>
        <w:rPr>
          <w:rStyle w:val="VerbatimChar"/>
          <w:rFonts w:ascii="Roboto Mono" w:hAnsi="Roboto Mono" w:eastAsia="Roboto Mono" w:cs="Roboto Mono"/>
        </w:rPr>
        <w:t xml:space="preserve">analysis_date</w:t>
      </w:r>
      <w:r>
        <w:rPr>
          <w:rFonts w:ascii="Roboto" w:hAnsi="Roboto" w:eastAsia="Roboto" w:cs="Roboto"/>
        </w:rPr>
        <w:t xml:space="preserve"> </w:t>
      </w:r>
      <w:r>
        <w:rPr>
          <w:rFonts w:ascii="Roboto" w:hAnsi="Roboto" w:eastAsia="Roboto" w:cs="Roboto"/>
        </w:rPr>
        <w:t xml:space="preserve">using observed price changes. The output keeps all positions the source reports and ranks them by reported weight to the depth the source discloses; where a source reports positions past the persisted depth, an aggregate row summarizes the remainder.</w:t>
      </w:r>
    </w:p>
    <w:p>
      <w:pPr>
        <w:pStyle w:val="BodyText"/>
      </w:pPr>
      <w:r>
        <w:rPr>
          <w:rFonts w:ascii="Roboto" w:hAnsi="Roboto" w:eastAsia="Roboto" w:cs="Roboto"/>
        </w:rPr>
        <w:t xml:space="preserve">The Portfolio Holdings Data Dictionary provides field order, datatypes, and controlled values. This document describes the calculations.</w:t>
      </w:r>
    </w:p>
    <w:p>
      <w:r>
        <w:rPr>
          <w:rFonts w:ascii="Roboto" w:hAnsi="Roboto" w:eastAsia="Roboto" w:cs="Roboto"/>
        </w:rPr>
        <w:pict>
          <v:rect style="width:0;height:1.5pt" o:hralign="center" o:hrstd="t" o:hr="t"/>
        </w:pict>
      </w:r>
    </w:p>
    <w:bookmarkStart w:id="20" w:name="scope-and-row-structure"/>
    <w:p>
      <w:pPr>
        <w:pStyle w:val="Heading1"/>
      </w:pPr>
      <w:r>
        <w:rPr>
          <w:rFonts w:ascii="Roboto" w:hAnsi="Roboto" w:eastAsia="Roboto" w:cs="Roboto"/>
        </w:rPr>
        <w:t xml:space="preserve">Scope and row structure</w:t>
      </w:r>
    </w:p>
    <w:p>
      <w:pPr>
        <w:pStyle w:val="FirstParagraph"/>
      </w:pPr>
      <w:r>
        <w:rPr>
          <w:rFonts w:ascii="Roboto" w:hAnsi="Roboto" w:eastAsia="Roboto" w:cs="Roboto"/>
        </w:rPr>
        <w:t xml:space="preserve">Holdings attach to a portfolio shared across fund share classes.</w:t>
      </w:r>
      <w:r>
        <w:rPr>
          <w:rFonts w:ascii="Roboto" w:hAnsi="Roboto" w:eastAsia="Roboto" w:cs="Roboto"/>
        </w:rPr>
        <w:t xml:space="preserve"> </w:t>
      </w:r>
      <w:r>
        <w:rPr>
          <w:rStyle w:val="VerbatimChar"/>
          <w:rFonts w:ascii="Roboto Mono" w:hAnsi="Roboto Mono" w:eastAsia="Roboto Mono" w:cs="Roboto Mono"/>
        </w:rPr>
        <w:t xml:space="preserve">portfolio_id</w:t>
      </w:r>
      <w:r>
        <w:rPr>
          <w:rFonts w:ascii="Roboto" w:hAnsi="Roboto" w:eastAsia="Roboto" w:cs="Roboto"/>
        </w:rPr>
        <w:t xml:space="preserve"> </w:t>
      </w:r>
      <w:r>
        <w:rPr>
          <w:rFonts w:ascii="Roboto" w:hAnsi="Roboto" w:eastAsia="Roboto" w:cs="Roboto"/>
        </w:rPr>
        <w:t xml:space="preserve">links the file to Fund Liquidity and the fund-to-portfolio mapping.</w:t>
      </w:r>
      <w:r>
        <w:rPr>
          <w:rFonts w:ascii="Roboto" w:hAnsi="Roboto" w:eastAsia="Roboto" w:cs="Roboto"/>
        </w:rPr>
        <w:t xml:space="preserve"> </w:t>
      </w:r>
      <w:r>
        <w:rPr>
          <w:rStyle w:val="VerbatimChar"/>
          <w:rFonts w:ascii="Roboto Mono" w:hAnsi="Roboto Mono" w:eastAsia="Roboto Mono" w:cs="Roboto Mono"/>
        </w:rPr>
        <w:t xml:space="preserve">portfolio_name</w:t>
      </w:r>
      <w:r>
        <w:rPr>
          <w:rFonts w:ascii="Roboto" w:hAnsi="Roboto" w:eastAsia="Roboto" w:cs="Roboto"/>
        </w:rPr>
        <w:t xml:space="preserve"> </w:t>
      </w:r>
      <w:r>
        <w:rPr>
          <w:rFonts w:ascii="Roboto" w:hAnsi="Roboto" w:eastAsia="Roboto" w:cs="Roboto"/>
        </w:rPr>
        <w:t xml:space="preserve">uses the reported portfolio title; a portfolio with a solitary share class can use its share-class title where a portfolio title is unavailable.</w:t>
      </w:r>
    </w:p>
    <w:p>
      <w:pPr>
        <w:pStyle w:val="BodyText"/>
      </w:pPr>
      <w:r>
        <w:rPr>
          <w:rFonts w:ascii="Roboto" w:hAnsi="Roboto" w:eastAsia="Roboto" w:cs="Roboto"/>
        </w:rPr>
        <w:t xml:space="preserve">A row represents a reported position or the aggregate remainder.</w:t>
      </w:r>
      <w:r>
        <w:rPr>
          <w:rFonts w:ascii="Roboto" w:hAnsi="Roboto" w:eastAsia="Roboto" w:cs="Roboto"/>
        </w:rPr>
        <w:t xml:space="preserve"> </w:t>
      </w:r>
      <w:r>
        <w:rPr>
          <w:rStyle w:val="VerbatimChar"/>
          <w:rFonts w:ascii="Roboto Mono" w:hAnsi="Roboto Mono" w:eastAsia="Roboto Mono" w:cs="Roboto Mono"/>
        </w:rPr>
        <w:t xml:space="preserve">holding_name</w:t>
      </w:r>
      <w:r>
        <w:rPr>
          <w:rFonts w:ascii="Roboto" w:hAnsi="Roboto" w:eastAsia="Roboto" w:cs="Roboto"/>
        </w:rPr>
        <w:t xml:space="preserve"> </w:t>
      </w:r>
      <w:r>
        <w:rPr>
          <w:rFonts w:ascii="Roboto" w:hAnsi="Roboto" w:eastAsia="Roboto" w:cs="Roboto"/>
        </w:rPr>
        <w:t xml:space="preserve">is the source description.</w:t>
      </w:r>
      <w:r>
        <w:rPr>
          <w:rFonts w:ascii="Roboto" w:hAnsi="Roboto" w:eastAsia="Roboto" w:cs="Roboto"/>
        </w:rPr>
        <w:t xml:space="preserve"> </w:t>
      </w:r>
      <w:r>
        <w:rPr>
          <w:rStyle w:val="VerbatimChar"/>
          <w:rFonts w:ascii="Roboto Mono" w:hAnsi="Roboto Mono" w:eastAsia="Roboto Mono" w:cs="Roboto Mono"/>
        </w:rPr>
        <w:t xml:space="preserve">holding_isin</w:t>
      </w:r>
      <w:r>
        <w:rPr>
          <w:rFonts w:ascii="Roboto" w:hAnsi="Roboto" w:eastAsia="Roboto" w:cs="Roboto"/>
        </w:rPr>
        <w:t xml:space="preserve"> </w:t>
      </w:r>
      <w:r>
        <w:rPr>
          <w:rFonts w:ascii="Roboto" w:hAnsi="Roboto" w:eastAsia="Roboto" w:cs="Roboto"/>
        </w:rPr>
        <w:t xml:space="preserve">contains the source-reported ISIN; it is blank where the source lacks a usable ISIN.</w:t>
      </w:r>
      <w:r>
        <w:rPr>
          <w:rFonts w:ascii="Roboto" w:hAnsi="Roboto" w:eastAsia="Roboto" w:cs="Roboto"/>
        </w:rPr>
        <w:t xml:space="preserve"> </w:t>
      </w:r>
      <w:r>
        <w:rPr>
          <w:rStyle w:val="VerbatimChar"/>
          <w:rFonts w:ascii="Roboto Mono" w:hAnsi="Roboto Mono" w:eastAsia="Roboto Mono" w:cs="Roboto Mono"/>
        </w:rPr>
        <w:t xml:space="preserve">holding_rank</w:t>
      </w:r>
      <w:r>
        <w:rPr>
          <w:rFonts w:ascii="Roboto" w:hAnsi="Roboto" w:eastAsia="Roboto" w:cs="Roboto"/>
        </w:rPr>
        <w:t xml:space="preserve"> </w:t>
      </w:r>
      <w:r>
        <w:rPr>
          <w:rFonts w:ascii="Roboto" w:hAnsi="Roboto" w:eastAsia="Roboto" w:cs="Roboto"/>
        </w:rPr>
        <w:t xml:space="preserve">preserves the source order by reported weight, even where market movement changes the order of</w:t>
      </w:r>
      <w:r>
        <w:rPr>
          <w:rFonts w:ascii="Roboto" w:hAnsi="Roboto" w:eastAsia="Roboto" w:cs="Roboto"/>
        </w:rPr>
        <w:t xml:space="preserve"> </w:t>
      </w:r>
      <w:r>
        <w:rPr>
          <w:rStyle w:val="VerbatimChar"/>
          <w:rFonts w:ascii="Roboto Mono" w:hAnsi="Roboto Mono" w:eastAsia="Roboto Mono" w:cs="Roboto Mono"/>
        </w:rPr>
        <w:t xml:space="preserve">holding_weight</w:t>
      </w:r>
      <w:r>
        <w:rPr>
          <w:rFonts w:ascii="Roboto" w:hAnsi="Roboto" w:eastAsia="Roboto" w:cs="Roboto"/>
        </w:rPr>
        <w:t xml:space="preserve">.</w:t>
      </w:r>
    </w:p>
    <w:p>
      <w:pPr>
        <w:pStyle w:val="BodyText"/>
      </w:pPr>
      <w:r>
        <w:rPr>
          <w:rStyle w:val="VerbatimChar"/>
          <w:rFonts w:ascii="Roboto Mono" w:hAnsi="Roboto Mono" w:eastAsia="Roboto Mono" w:cs="Roboto Mono"/>
        </w:rPr>
        <w:t xml:space="preserve">analysis_date</w:t>
      </w:r>
      <w:r>
        <w:rPr>
          <w:rFonts w:ascii="Roboto" w:hAnsi="Roboto" w:eastAsia="Roboto" w:cs="Roboto"/>
        </w:rPr>
        <w:t xml:space="preserve"> </w:t>
      </w:r>
      <w:r>
        <w:rPr>
          <w:rFonts w:ascii="Roboto" w:hAnsi="Roboto" w:eastAsia="Roboto" w:cs="Roboto"/>
        </w:rPr>
        <w:t xml:space="preserve">is the output date.</w:t>
      </w:r>
      <w:r>
        <w:rPr>
          <w:rFonts w:ascii="Roboto" w:hAnsi="Roboto" w:eastAsia="Roboto" w:cs="Roboto"/>
        </w:rPr>
        <w:t xml:space="preserve"> </w:t>
      </w:r>
      <w:r>
        <w:rPr>
          <w:rStyle w:val="VerbatimChar"/>
          <w:rFonts w:ascii="Roboto Mono" w:hAnsi="Roboto Mono" w:eastAsia="Roboto Mono" w:cs="Roboto Mono"/>
        </w:rPr>
        <w:t xml:space="preserve">data_source_date</w:t>
      </w:r>
      <w:r>
        <w:rPr>
          <w:rFonts w:ascii="Roboto" w:hAnsi="Roboto" w:eastAsia="Roboto" w:cs="Roboto"/>
        </w:rPr>
        <w:t xml:space="preserve"> </w:t>
      </w:r>
      <w:r>
        <w:rPr>
          <w:rFonts w:ascii="Roboto" w:hAnsi="Roboto" w:eastAsia="Roboto" w:cs="Roboto"/>
        </w:rPr>
        <w:t xml:space="preserve">is the effective date of the selected holdings report.</w:t>
      </w:r>
      <w:r>
        <w:rPr>
          <w:rFonts w:ascii="Roboto" w:hAnsi="Roboto" w:eastAsia="Roboto" w:cs="Roboto"/>
        </w:rPr>
        <w:t xml:space="preserve"> </w:t>
      </w:r>
      <w:r>
        <w:rPr>
          <w:rStyle w:val="VerbatimChar"/>
          <w:rFonts w:ascii="Roboto Mono" w:hAnsi="Roboto Mono" w:eastAsia="Roboto Mono" w:cs="Roboto Mono"/>
        </w:rPr>
        <w:t xml:space="preserve">data_source</w:t>
      </w:r>
      <w:r>
        <w:rPr>
          <w:rFonts w:ascii="Roboto" w:hAnsi="Roboto" w:eastAsia="Roboto" w:cs="Roboto"/>
        </w:rPr>
        <w:t xml:space="preserve"> </w:t>
      </w:r>
      <w:r>
        <w:rPr>
          <w:rFonts w:ascii="Roboto" w:hAnsi="Roboto" w:eastAsia="Roboto" w:cs="Roboto"/>
        </w:rPr>
        <w:t xml:space="preserve">identifies SEC N-PORT as</w:t>
      </w:r>
      <w:r>
        <w:rPr>
          <w:rFonts w:ascii="Roboto" w:hAnsi="Roboto" w:eastAsia="Roboto" w:cs="Roboto"/>
        </w:rPr>
        <w:t xml:space="preserve"> </w:t>
      </w:r>
      <w:r>
        <w:rPr>
          <w:rStyle w:val="VerbatimChar"/>
          <w:rFonts w:ascii="Roboto Mono" w:hAnsi="Roboto Mono" w:eastAsia="Roboto Mono" w:cs="Roboto Mono"/>
        </w:rPr>
        <w:t xml:space="preserve">SEC</w:t>
      </w:r>
      <w:r>
        <w:rPr>
          <w:rFonts w:ascii="Roboto" w:hAnsi="Roboto" w:eastAsia="Roboto" w:cs="Roboto"/>
        </w:rPr>
        <w:t xml:space="preserve">, SEC N-MFP as</w:t>
      </w:r>
      <w:r>
        <w:rPr>
          <w:rFonts w:ascii="Roboto" w:hAnsi="Roboto" w:eastAsia="Roboto" w:cs="Roboto"/>
        </w:rPr>
        <w:t xml:space="preserve"> </w:t>
      </w:r>
      <w:r>
        <w:rPr>
          <w:rStyle w:val="VerbatimChar"/>
          <w:rFonts w:ascii="Roboto Mono" w:hAnsi="Roboto Mono" w:eastAsia="Roboto Mono" w:cs="Roboto Mono"/>
        </w:rPr>
        <w:t xml:space="preserve">nmfp</w:t>
      </w:r>
      <w:r>
        <w:rPr>
          <w:rFonts w:ascii="Roboto" w:hAnsi="Roboto" w:eastAsia="Roboto" w:cs="Roboto"/>
        </w:rPr>
        <w:t xml:space="preserve">, Japanese filings as</w:t>
      </w:r>
      <w:r>
        <w:rPr>
          <w:rFonts w:ascii="Roboto" w:hAnsi="Roboto" w:eastAsia="Roboto" w:cs="Roboto"/>
        </w:rPr>
        <w:t xml:space="preserve"> </w:t>
      </w:r>
      <w:r>
        <w:rPr>
          <w:rStyle w:val="VerbatimChar"/>
          <w:rFonts w:ascii="Roboto Mono" w:hAnsi="Roboto Mono" w:eastAsia="Roboto Mono" w:cs="Roboto Mono"/>
        </w:rPr>
        <w:t xml:space="preserve">edinet</w:t>
      </w:r>
      <w:r>
        <w:rPr>
          <w:rFonts w:ascii="Roboto" w:hAnsi="Roboto" w:eastAsia="Roboto" w:cs="Roboto"/>
        </w:rPr>
        <w:t xml:space="preserve">, and sponsor files as</w:t>
      </w:r>
      <w:r>
        <w:rPr>
          <w:rFonts w:ascii="Roboto" w:hAnsi="Roboto" w:eastAsia="Roboto" w:cs="Roboto"/>
        </w:rPr>
        <w:t xml:space="preserve"> </w:t>
      </w:r>
      <w:r>
        <w:rPr>
          <w:rStyle w:val="VerbatimChar"/>
          <w:rFonts w:ascii="Roboto Mono" w:hAnsi="Roboto Mono" w:eastAsia="Roboto Mono" w:cs="Roboto Mono"/>
        </w:rPr>
        <w:t xml:space="preserve">web:&lt;sponsor&gt;</w:t>
      </w:r>
      <w:r>
        <w:rPr>
          <w:rFonts w:ascii="Roboto" w:hAnsi="Roboto" w:eastAsia="Roboto" w:cs="Roboto"/>
        </w:rPr>
        <w:t xml:space="preserve">.</w:t>
      </w:r>
    </w:p>
    <w:p>
      <w:r>
        <w:rPr>
          <w:rFonts w:ascii="Roboto" w:hAnsi="Roboto" w:eastAsia="Roboto" w:cs="Roboto"/>
        </w:rPr>
        <w:pict>
          <v:rect style="width:0;height:1.5pt" o:hralign="center" o:hrstd="t" o:hr="t"/>
        </w:pict>
      </w:r>
    </w:p>
    <w:bookmarkEnd w:id="20"/>
    <w:bookmarkStart w:id="21" w:name="source-selection"/>
    <w:p>
      <w:pPr>
        <w:pStyle w:val="Heading1"/>
      </w:pPr>
      <w:r>
        <w:rPr>
          <w:rFonts w:ascii="Roboto" w:hAnsi="Roboto" w:eastAsia="Roboto" w:cs="Roboto"/>
        </w:rPr>
        <w:t xml:space="preserve">Source selection</w:t>
      </w:r>
    </w:p>
    <w:p>
      <w:pPr>
        <w:pStyle w:val="FirstParagraph"/>
      </w:pPr>
      <w:r>
        <w:rPr>
          <w:rFonts w:ascii="Roboto" w:hAnsi="Roboto" w:eastAsia="Roboto" w:cs="Roboto"/>
        </w:rPr>
        <w:t xml:space="preserve">Sources include SEC Forms N-PORT and N-MFP, Japanese EDINET schedules, and qualifying sponsor portfolio files. The engine selects the newest portfolio report dated on or before</w:t>
      </w:r>
      <w:r>
        <w:rPr>
          <w:rFonts w:ascii="Roboto" w:hAnsi="Roboto" w:eastAsia="Roboto" w:cs="Roboto"/>
        </w:rPr>
        <w:t xml:space="preserve"> </w:t>
      </w:r>
      <w:r>
        <w:rPr>
          <w:rStyle w:val="VerbatimChar"/>
          <w:rFonts w:ascii="Roboto Mono" w:hAnsi="Roboto Mono" w:eastAsia="Roboto Mono" w:cs="Roboto Mono"/>
        </w:rPr>
        <w:t xml:space="preserve">analysis_date</w:t>
      </w:r>
      <w:r>
        <w:rPr>
          <w:rFonts w:ascii="Roboto" w:hAnsi="Roboto" w:eastAsia="Roboto" w:cs="Roboto"/>
        </w:rPr>
        <w:t xml:space="preserve"> </w:t>
      </w:r>
      <w:r>
        <w:rPr>
          <w:rFonts w:ascii="Roboto" w:hAnsi="Roboto" w:eastAsia="Roboto" w:cs="Roboto"/>
        </w:rPr>
        <w:t xml:space="preserve">and within the preceding 365 calendar days.</w:t>
      </w:r>
    </w:p>
    <w:p>
      <w:pPr>
        <w:pStyle w:val="BodyText"/>
      </w:pPr>
      <w:r>
        <w:rPr>
          <w:rFonts w:ascii="Roboto" w:hAnsi="Roboto" w:eastAsia="Roboto" w:cs="Roboto"/>
        </w:rPr>
        <w:t xml:space="preserve">The complete report is parsed before ranking. Structural checks cover portfolio identity, dates, weights, values, and the applicable filing totals. A report that fails a check enters review under the relevant filing section.</w:t>
      </w:r>
    </w:p>
    <w:p>
      <w:r>
        <w:rPr>
          <w:rFonts w:ascii="Roboto" w:hAnsi="Roboto" w:eastAsia="Roboto" w:cs="Roboto"/>
        </w:rPr>
        <w:pict>
          <v:rect style="width:0;height:1.5pt" o:hralign="center" o:hrstd="t" o:hr="t"/>
        </w:pict>
      </w:r>
    </w:p>
    <w:bookmarkEnd w:id="21"/>
    <w:bookmarkStart w:id="22" w:name="full-depth-and-aggregate-remainder"/>
    <w:p>
      <w:pPr>
        <w:pStyle w:val="Heading1"/>
      </w:pPr>
      <w:r>
        <w:rPr>
          <w:rFonts w:ascii="Roboto" w:hAnsi="Roboto" w:eastAsia="Roboto" w:cs="Roboto"/>
        </w:rPr>
        <w:t xml:space="preserve">Full depth and aggregate remainder</w:t>
      </w:r>
    </w:p>
    <w:p>
      <w:pPr>
        <w:pStyle w:val="FirstParagraph"/>
      </w:pPr>
      <w:r>
        <w:rPr>
          <w:rFonts w:ascii="Roboto" w:hAnsi="Roboto" w:eastAsia="Roboto" w:cs="Roboto"/>
        </w:rPr>
        <w:t xml:space="preserve">The engine retains all reported positions and ranks them by reported weight. Where a source reports positions past the persisted depth, those positions combine into a final row whose</w:t>
      </w:r>
      <w:r>
        <w:rPr>
          <w:rFonts w:ascii="Roboto" w:hAnsi="Roboto" w:eastAsia="Roboto" w:cs="Roboto"/>
        </w:rPr>
        <w:t xml:space="preserve"> </w:t>
      </w:r>
      <w:r>
        <w:rPr>
          <w:rStyle w:val="VerbatimChar"/>
          <w:rFonts w:ascii="Roboto Mono" w:hAnsi="Roboto Mono" w:eastAsia="Roboto Mono" w:cs="Roboto Mono"/>
        </w:rPr>
        <w:t xml:space="preserve">holding_name</w:t>
      </w:r>
      <w:r>
        <w:rPr>
          <w:rFonts w:ascii="Roboto" w:hAnsi="Roboto" w:eastAsia="Roboto" w:cs="Roboto"/>
        </w:rPr>
        <w:t xml:space="preserve"> </w:t>
      </w:r>
      <w:r>
        <w:rPr>
          <w:rFonts w:ascii="Roboto" w:hAnsi="Roboto" w:eastAsia="Roboto" w:cs="Roboto"/>
        </w:rPr>
        <w:t xml:space="preserve">begins with</w:t>
      </w:r>
      <w:r>
        <w:rPr>
          <w:rFonts w:ascii="Roboto" w:hAnsi="Roboto" w:eastAsia="Roboto" w:cs="Roboto"/>
        </w:rPr>
        <w:t xml:space="preserve"> </w:t>
      </w:r>
      <w:r>
        <w:rPr>
          <w:rStyle w:val="VerbatimChar"/>
          <w:rFonts w:ascii="Roboto Mono" w:hAnsi="Roboto Mono" w:eastAsia="Roboto Mono" w:cs="Roboto Mono"/>
        </w:rPr>
        <w:t xml:space="preserve">All other holdings</w:t>
      </w:r>
      <w:r>
        <w:rPr>
          <w:rFonts w:ascii="Roboto" w:hAnsi="Roboto" w:eastAsia="Roboto" w:cs="Roboto"/>
        </w:rPr>
        <w:t xml:space="preserve"> </w:t>
      </w:r>
      <w:r>
        <w:rPr>
          <w:rFonts w:ascii="Roboto" w:hAnsi="Roboto" w:eastAsia="Roboto" w:cs="Roboto"/>
        </w:rPr>
        <w:t xml:space="preserve">and whose</w:t>
      </w:r>
      <w:r>
        <w:rPr>
          <w:rFonts w:ascii="Roboto" w:hAnsi="Roboto" w:eastAsia="Roboto" w:cs="Roboto"/>
        </w:rPr>
        <w:t xml:space="preserve"> </w:t>
      </w:r>
      <w:r>
        <w:rPr>
          <w:rStyle w:val="VerbatimChar"/>
          <w:rFonts w:ascii="Roboto Mono" w:hAnsi="Roboto Mono" w:eastAsia="Roboto Mono" w:cs="Roboto Mono"/>
        </w:rPr>
        <w:t xml:space="preserve">holding_isin</w:t>
      </w:r>
      <w:r>
        <w:rPr>
          <w:rFonts w:ascii="Roboto" w:hAnsi="Roboto" w:eastAsia="Roboto" w:cs="Roboto"/>
        </w:rPr>
        <w:t xml:space="preserve"> </w:t>
      </w:r>
      <w:r>
        <w:rPr>
          <w:rFonts w:ascii="Roboto" w:hAnsi="Roboto" w:eastAsia="Roboto" w:cs="Roboto"/>
        </w:rPr>
        <w:t xml:space="preserve">is blank. A book persisted in full omits the aggregate row.</w:t>
      </w:r>
    </w:p>
    <w:p>
      <w:pPr>
        <w:pStyle w:val="BodyText"/>
      </w:pPr>
      <w:r>
        <w:rPr>
          <w:rFonts w:ascii="Roboto" w:hAnsi="Roboto" w:eastAsia="Roboto" w:cs="Roboto"/>
        </w:rPr>
        <w:t xml:space="preserve">The aggregate weight is signed. A positive value represents net long exposure past the persisted depth; a negative value represents net short exposure, borrowing, or other offsets. Long and short positions inside the aggregate can offset, so the row describes a net weight. Gross exposure detail covers the retained positions.</w:t>
      </w:r>
    </w:p>
    <w:p>
      <w:pPr>
        <w:pStyle w:val="BodyText"/>
      </w:pPr>
      <w:r>
        <w:rPr>
          <w:rFonts w:ascii="Roboto" w:hAnsi="Roboto" w:eastAsia="Roboto" w:cs="Roboto"/>
        </w:rPr>
        <w:t xml:space="preserve">Portfolios persisted in full consist entirely of position rows. The engine projection normalizes them to 100%; the</w:t>
      </w:r>
      <w:r>
        <w:rPr>
          <w:rFonts w:ascii="Roboto" w:hAnsi="Roboto" w:eastAsia="Roboto" w:cs="Roboto"/>
        </w:rPr>
        <w:t xml:space="preserve"> </w:t>
      </w:r>
      <w:r>
        <w:rPr>
          <w:rStyle w:val="VerbatimChar"/>
          <w:rFonts w:ascii="Roboto Mono" w:hAnsi="Roboto Mono" w:eastAsia="Roboto Mono" w:cs="Roboto Mono"/>
        </w:rPr>
        <w:t xml:space="preserve">filing</w:t>
      </w:r>
      <w:r>
        <w:rPr>
          <w:rFonts w:ascii="Roboto" w:hAnsi="Roboto" w:eastAsia="Roboto" w:cs="Roboto"/>
        </w:rPr>
        <w:t xml:space="preserve"> </w:t>
      </w:r>
      <w:r>
        <w:rPr>
          <w:rFonts w:ascii="Roboto" w:hAnsi="Roboto" w:eastAsia="Roboto" w:cs="Roboto"/>
        </w:rPr>
        <w:t xml:space="preserve">channel preserves source rounding.</w:t>
      </w:r>
    </w:p>
    <w:p>
      <w:r>
        <w:rPr>
          <w:rFonts w:ascii="Roboto" w:hAnsi="Roboto" w:eastAsia="Roboto" w:cs="Roboto"/>
        </w:rPr>
        <w:pict>
          <v:rect style="width:0;height:1.5pt" o:hralign="center" o:hrstd="t" o:hr="t"/>
        </w:pict>
      </w:r>
    </w:p>
    <w:bookmarkEnd w:id="22"/>
    <w:bookmarkStart w:id="23" w:name="weight-projection"/>
    <w:p>
      <w:pPr>
        <w:pStyle w:val="Heading1"/>
      </w:pPr>
      <w:r>
        <w:rPr>
          <w:rFonts w:ascii="Roboto" w:hAnsi="Roboto" w:eastAsia="Roboto" w:cs="Roboto"/>
        </w:rPr>
        <w:t xml:space="preserve">Weight projection</w:t>
      </w:r>
    </w:p>
    <w:p>
      <w:pPr>
        <w:pStyle w:val="FirstParagraph"/>
      </w:pPr>
      <w:r>
        <w:rPr>
          <w:rFonts w:ascii="Roboto" w:hAnsi="Roboto" w:eastAsia="Roboto" w:cs="Roboto"/>
        </w:rPr>
        <w:t xml:space="preserve">The engine file publishes</w:t>
      </w:r>
      <w:r>
        <w:rPr>
          <w:rFonts w:ascii="Roboto" w:hAnsi="Roboto" w:eastAsia="Roboto" w:cs="Roboto"/>
        </w:rPr>
        <w:t xml:space="preserve"> </w:t>
      </w:r>
      <w:r>
        <w:rPr>
          <w:rStyle w:val="VerbatimChar"/>
          <w:rFonts w:ascii="Roboto Mono" w:hAnsi="Roboto Mono" w:eastAsia="Roboto Mono" w:cs="Roboto Mono"/>
        </w:rPr>
        <w:t xml:space="preserve">projection_method</w:t>
      </w:r>
      <w:r>
        <w:rPr>
          <w:rFonts w:ascii="Roboto" w:hAnsi="Roboto" w:eastAsia="Roboto" w:cs="Roboto"/>
        </w:rPr>
        <w:t xml:space="preserve"> </w:t>
      </w:r>
      <w:r>
        <w:rPr>
          <w:rFonts w:ascii="Roboto" w:hAnsi="Roboto" w:eastAsia="Roboto" w:cs="Roboto"/>
        </w:rPr>
        <w:t xml:space="preserve">per fund:</w:t>
      </w:r>
      <w:r>
        <w:rPr>
          <w:rFonts w:ascii="Roboto" w:hAnsi="Roboto" w:eastAsia="Roboto" w:cs="Roboto"/>
        </w:rPr>
        <w:t xml:space="preserve"> </w:t>
      </w:r>
      <w:r>
        <w:rPr>
          <w:rStyle w:val="VerbatimChar"/>
          <w:rFonts w:ascii="Roboto Mono" w:hAnsi="Roboto Mono" w:eastAsia="Roboto Mono" w:cs="Roboto Mono"/>
        </w:rPr>
        <w:t xml:space="preserve">drift</w:t>
      </w:r>
      <w:r>
        <w:rPr>
          <w:rFonts w:ascii="Roboto" w:hAnsi="Roboto" w:eastAsia="Roboto" w:cs="Roboto"/>
        </w:rPr>
        <w:t xml:space="preserve"> </w:t>
      </w:r>
      <w:r>
        <w:rPr>
          <w:rFonts w:ascii="Roboto" w:hAnsi="Roboto" w:eastAsia="Roboto" w:cs="Roboto"/>
        </w:rPr>
        <w:t xml:space="preserve">where the book received a projection,</w:t>
      </w:r>
      <w:r>
        <w:rPr>
          <w:rFonts w:ascii="Roboto" w:hAnsi="Roboto" w:eastAsia="Roboto" w:cs="Roboto"/>
        </w:rPr>
        <w:t xml:space="preserve"> </w:t>
      </w:r>
      <w:r>
        <w:rPr>
          <w:rStyle w:val="VerbatimChar"/>
          <w:rFonts w:ascii="Roboto Mono" w:hAnsi="Roboto Mono" w:eastAsia="Roboto Mono" w:cs="Roboto Mono"/>
        </w:rPr>
        <w:t xml:space="preserve">filing</w:t>
      </w:r>
      <w:r>
        <w:rPr>
          <w:rFonts w:ascii="Roboto" w:hAnsi="Roboto" w:eastAsia="Roboto" w:cs="Roboto"/>
        </w:rPr>
        <w:t xml:space="preserve"> </w:t>
      </w:r>
      <w:r>
        <w:rPr>
          <w:rFonts w:ascii="Roboto" w:hAnsi="Roboto" w:eastAsia="Roboto" w:cs="Roboto"/>
        </w:rPr>
        <w:t xml:space="preserve">where the as-filed weights pass through unchanged because pricing failed across all positions or because the book’s denominator was degenerate. A drifted book keeps reported quantities fixed and updates positions by their price ratios from</w:t>
      </w:r>
      <w:r>
        <w:rPr>
          <w:rFonts w:ascii="Roboto" w:hAnsi="Roboto" w:eastAsia="Roboto" w:cs="Roboto"/>
        </w:rPr>
        <w:t xml:space="preserve"> </w:t>
      </w:r>
      <w:r>
        <w:rPr>
          <w:rStyle w:val="VerbatimChar"/>
          <w:rFonts w:ascii="Roboto Mono" w:hAnsi="Roboto Mono" w:eastAsia="Roboto Mono" w:cs="Roboto Mono"/>
        </w:rPr>
        <w:t xml:space="preserve">data_source_date</w:t>
      </w:r>
      <w:r>
        <w:rPr>
          <w:rFonts w:ascii="Roboto" w:hAnsi="Roboto" w:eastAsia="Roboto" w:cs="Roboto"/>
        </w:rPr>
        <w:t xml:space="preserve"> </w:t>
      </w:r>
      <w:r>
        <w:rPr>
          <w:rFonts w:ascii="Roboto" w:hAnsi="Roboto" w:eastAsia="Roboto" w:cs="Roboto"/>
        </w:rPr>
        <w:t xml:space="preserve">to</w:t>
      </w:r>
      <w:r>
        <w:rPr>
          <w:rFonts w:ascii="Roboto" w:hAnsi="Roboto" w:eastAsia="Roboto" w:cs="Roboto"/>
        </w:rPr>
        <w:t xml:space="preserve"> </w:t>
      </w:r>
      <w:r>
        <w:rPr>
          <w:rStyle w:val="VerbatimChar"/>
          <w:rFonts w:ascii="Roboto Mono" w:hAnsi="Roboto Mono" w:eastAsia="Roboto Mono" w:cs="Roboto Mono"/>
        </w:rPr>
        <w:t xml:space="preserve">analysis_date</w:t>
      </w:r>
      <w:r>
        <w:rPr>
          <w:rFonts w:ascii="Roboto" w:hAnsi="Roboto" w:eastAsia="Roboto" w:cs="Roboto"/>
        </w:rPr>
        <w:t xml:space="preserve">.</w:t>
      </w:r>
    </w:p>
    <w:p>
      <w:pPr>
        <w:pStyle w:val="BodyText"/>
      </w:pPr>
      <w:r>
        <w:rPr>
          <w:rFonts w:ascii="Roboto" w:hAnsi="Roboto" w:eastAsia="Roboto" w:cs="Roboto"/>
        </w:rPr>
        <w:t xml:space="preserve">The calculation uses:</w:t>
      </w:r>
    </w:p>
    <w:p>
      <w:pPr>
        <w:pStyle w:val="Compact"/>
        <w:numPr>
          <w:ilvl w:val="0"/>
          <w:numId w:val="1001"/>
        </w:numPr>
      </w:pPr>
      <w:r>
        <w:rPr>
          <w:rStyle w:val="VerbatimChar"/>
          <w:rFonts w:ascii="Roboto Mono" w:hAnsi="Roboto Mono" w:eastAsia="Roboto Mono" w:cs="Roboto Mono"/>
        </w:rPr>
        <w:t xml:space="preserve">t0</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data_source_date</w:t>
      </w:r>
      <w:r>
        <w:rPr>
          <w:rFonts w:ascii="Roboto" w:hAnsi="Roboto" w:eastAsia="Roboto" w:cs="Roboto"/>
        </w:rPr>
        <w:t xml:space="preserve">.</w:t>
      </w:r>
    </w:p>
    <w:p>
      <w:pPr>
        <w:pStyle w:val="Compact"/>
        <w:numPr>
          <w:ilvl w:val="0"/>
          <w:numId w:val="1001"/>
        </w:numPr>
      </w:pPr>
      <w:r>
        <w:rPr>
          <w:rStyle w:val="VerbatimChar"/>
          <w:rFonts w:ascii="Roboto Mono" w:hAnsi="Roboto Mono" w:eastAsia="Roboto Mono" w:cs="Roboto Mono"/>
        </w:rPr>
        <w:t xml:space="preserve">t</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analysis_date</w:t>
      </w:r>
      <w:r>
        <w:rPr>
          <w:rFonts w:ascii="Roboto" w:hAnsi="Roboto" w:eastAsia="Roboto" w:cs="Roboto"/>
        </w:rPr>
        <w:t xml:space="preserve">.</w:t>
      </w:r>
    </w:p>
    <w:p>
      <w:pPr>
        <w:pStyle w:val="Compact"/>
        <w:numPr>
          <w:ilvl w:val="0"/>
          <w:numId w:val="1001"/>
        </w:numPr>
      </w:pPr>
      <w:r>
        <w:rPr>
          <w:rStyle w:val="VerbatimChar"/>
          <w:rFonts w:ascii="Roboto Mono" w:hAnsi="Roboto Mono" w:eastAsia="Roboto Mono" w:cs="Roboto Mono"/>
        </w:rPr>
        <w:t xml:space="preserve">w_i(t0)</w:t>
      </w:r>
      <w:r>
        <w:rPr>
          <w:rFonts w:ascii="Roboto" w:hAnsi="Roboto" w:eastAsia="Roboto" w:cs="Roboto"/>
        </w:rPr>
        <w:t xml:space="preserve">: the signed reported weight of retained position</w:t>
      </w:r>
      <w:r>
        <w:rPr>
          <w:rFonts w:ascii="Roboto" w:hAnsi="Roboto" w:eastAsia="Roboto" w:cs="Roboto"/>
        </w:rPr>
        <w:t xml:space="preserve"> </w:t>
      </w:r>
      <w:r>
        <w:rPr>
          <w:rStyle w:val="VerbatimChar"/>
          <w:rFonts w:ascii="Roboto Mono" w:hAnsi="Roboto Mono" w:eastAsia="Roboto Mono" w:cs="Roboto Mono"/>
        </w:rPr>
        <w:t xml:space="preserve">i</w:t>
      </w:r>
      <w:r>
        <w:rPr>
          <w:rFonts w:ascii="Roboto" w:hAnsi="Roboto" w:eastAsia="Roboto" w:cs="Roboto"/>
        </w:rPr>
        <w:t xml:space="preserve">, in percentage points. Long exposure is positive; short exposure and offsets are negative.</w:t>
      </w:r>
    </w:p>
    <w:p>
      <w:pPr>
        <w:pStyle w:val="Compact"/>
        <w:numPr>
          <w:ilvl w:val="0"/>
          <w:numId w:val="1001"/>
        </w:numPr>
      </w:pPr>
      <w:r>
        <w:rPr>
          <w:rStyle w:val="VerbatimChar"/>
          <w:rFonts w:ascii="Roboto Mono" w:hAnsi="Roboto Mono" w:eastAsia="Roboto Mono" w:cs="Roboto Mono"/>
        </w:rPr>
        <w:t xml:space="preserve">w_T(t0)</w:t>
      </w:r>
      <w:r>
        <w:rPr>
          <w:rFonts w:ascii="Roboto" w:hAnsi="Roboto" w:eastAsia="Roboto" w:cs="Roboto"/>
        </w:rPr>
        <w:t xml:space="preserve">: the signed net reported weight of positions past the persisted depth.</w:t>
      </w:r>
    </w:p>
    <w:p>
      <w:pPr>
        <w:pStyle w:val="Compact"/>
        <w:numPr>
          <w:ilvl w:val="0"/>
          <w:numId w:val="1001"/>
        </w:numPr>
      </w:pPr>
      <w:r>
        <w:rPr>
          <w:rStyle w:val="VerbatimChar"/>
          <w:rFonts w:ascii="Roboto Mono" w:hAnsi="Roboto Mono" w:eastAsia="Roboto Mono" w:cs="Roboto Mono"/>
        </w:rPr>
        <w:t xml:space="preserve">R_i</w:t>
      </w:r>
      <w:r>
        <w:rPr>
          <w:rFonts w:ascii="Roboto" w:hAnsi="Roboto" w:eastAsia="Roboto" w:cs="Roboto"/>
        </w:rPr>
        <w:t xml:space="preserve">: the eligible price ratio for retained position</w:t>
      </w:r>
      <w:r>
        <w:rPr>
          <w:rFonts w:ascii="Roboto" w:hAnsi="Roboto" w:eastAsia="Roboto" w:cs="Roboto"/>
        </w:rPr>
        <w:t xml:space="preserve"> </w:t>
      </w:r>
      <w:r>
        <w:rPr>
          <w:rStyle w:val="VerbatimChar"/>
          <w:rFonts w:ascii="Roboto Mono" w:hAnsi="Roboto Mono" w:eastAsia="Roboto Mono" w:cs="Roboto Mono"/>
        </w:rPr>
        <w:t xml:space="preserve">i</w:t>
      </w:r>
      <w:r>
        <w:rPr>
          <w:rFonts w:ascii="Roboto" w:hAnsi="Roboto" w:eastAsia="Roboto" w:cs="Roboto"/>
        </w:rPr>
        <w:t xml:space="preserve">.</w:t>
      </w:r>
    </w:p>
    <w:p>
      <w:pPr>
        <w:pStyle w:val="Compact"/>
        <w:numPr>
          <w:ilvl w:val="0"/>
          <w:numId w:val="1001"/>
        </w:numPr>
      </w:pPr>
      <w:r>
        <w:rPr>
          <w:rStyle w:val="VerbatimChar"/>
          <w:rFonts w:ascii="Roboto Mono" w:hAnsi="Roboto Mono" w:eastAsia="Roboto Mono" w:cs="Roboto Mono"/>
        </w:rPr>
        <w:t xml:space="preserve">R_M</w:t>
      </w:r>
      <w:r>
        <w:rPr>
          <w:rFonts w:ascii="Roboto" w:hAnsi="Roboto" w:eastAsia="Roboto" w:cs="Roboto"/>
        </w:rPr>
        <w:t xml:space="preserve">: the median</w:t>
      </w:r>
      <w:r>
        <w:rPr>
          <w:rFonts w:ascii="Roboto" w:hAnsi="Roboto" w:eastAsia="Roboto" w:cs="Roboto"/>
        </w:rPr>
        <w:t xml:space="preserve"> </w:t>
      </w:r>
      <w:r>
        <w:rPr>
          <w:rStyle w:val="VerbatimChar"/>
          <w:rFonts w:ascii="Roboto Mono" w:hAnsi="Roboto Mono" w:eastAsia="Roboto Mono" w:cs="Roboto Mono"/>
        </w:rPr>
        <w:t xml:space="preserve">R_i</w:t>
      </w:r>
      <w:r>
        <w:rPr>
          <w:rFonts w:ascii="Roboto" w:hAnsi="Roboto" w:eastAsia="Roboto" w:cs="Roboto"/>
        </w:rPr>
        <w:t xml:space="preserve"> </w:t>
      </w:r>
      <w:r>
        <w:rPr>
          <w:rFonts w:ascii="Roboto" w:hAnsi="Roboto" w:eastAsia="Roboto" w:cs="Roboto"/>
        </w:rPr>
        <w:t xml:space="preserve">among retained positions with usable price pairs.</w:t>
      </w:r>
    </w:p>
    <w:p>
      <w:pPr>
        <w:pStyle w:val="Compact"/>
        <w:numPr>
          <w:ilvl w:val="0"/>
          <w:numId w:val="1001"/>
        </w:numPr>
      </w:pPr>
      <w:r>
        <w:rPr>
          <w:rStyle w:val="VerbatimChar"/>
          <w:rFonts w:ascii="Roboto Mono" w:hAnsi="Roboto Mono" w:eastAsia="Roboto Mono" w:cs="Roboto Mono"/>
        </w:rPr>
        <w:t xml:space="preserve">D</w:t>
      </w:r>
      <w:r>
        <w:rPr>
          <w:rFonts w:ascii="Roboto" w:hAnsi="Roboto" w:eastAsia="Roboto" w:cs="Roboto"/>
        </w:rPr>
        <w:t xml:space="preserve">: the signed net drifted total used as the normalization denominator.</w:t>
      </w:r>
    </w:p>
    <w:p>
      <w:pPr>
        <w:pStyle w:val="FirstParagraph"/>
      </w:pPr>
      <w:r>
        <w:rPr>
          <w:rFonts w:ascii="Roboto" w:hAnsi="Roboto" w:eastAsia="Roboto" w:cs="Roboto"/>
        </w:rPr>
        <w:t xml:space="preserve">For a retained position:</w:t>
      </w:r>
    </w:p>
    <w:p>
      <w:pPr>
        <w:pStyle w:val="SourceCode"/>
        <w:shd w:fill="EEF0F4"/>
        <w:spacing w:before="80" w:after="140"/>
        <w:ind w:left="173" w:right="173"/>
      </w:pPr>
      <w:r>
        <w:rPr>
          <w:rStyle w:val="VerbatimChar"/>
          <w:rFonts w:ascii="Roboto Mono" w:hAnsi="Roboto Mono" w:eastAsia="Roboto Mono" w:cs="Roboto Mono"/>
          <w:sz w:val="17"/>
        </w:rPr>
        <w:t xml:space="preserve">R_i = P_i(t) / P_i(t0)</w:t>
      </w:r>
      <w:r>
        <w:rPr>
          <w:rFonts w:ascii="Roboto Mono" w:hAnsi="Roboto Mono" w:eastAsia="Roboto Mono" w:cs="Roboto Mono"/>
          <w:sz w:val="17"/>
        </w:rPr>
        <w:br/>
      </w:r>
      <w:r>
        <w:rPr>
          <w:rFonts w:ascii="Roboto Mono" w:hAnsi="Roboto Mono" w:eastAsia="Roboto Mono" w:cs="Roboto Mono"/>
          <w:sz w:val="17"/>
        </w:rPr>
        <w:br/>
      </w:r>
      <w:r>
        <w:rPr>
          <w:rStyle w:val="VerbatimChar"/>
          <w:rFonts w:ascii="Roboto Mono" w:hAnsi="Roboto Mono" w:eastAsia="Roboto Mono" w:cs="Roboto Mono"/>
          <w:sz w:val="17"/>
        </w:rPr>
        <w:t xml:space="preserve">drifted weight_i = w_i(t0) × R_i</w:t>
      </w:r>
    </w:p>
    <w:p>
      <w:pPr>
        <w:pStyle w:val="FirstParagraph"/>
      </w:pPr>
      <w:r>
        <w:rPr>
          <w:rFonts w:ascii="Roboto" w:hAnsi="Roboto" w:eastAsia="Roboto" w:cs="Roboto"/>
        </w:rPr>
        <w:t xml:space="preserve">Positions requiring a fallback and the aggregate remainder use</w:t>
      </w:r>
      <w:r>
        <w:rPr>
          <w:rFonts w:ascii="Roboto" w:hAnsi="Roboto" w:eastAsia="Roboto" w:cs="Roboto"/>
        </w:rPr>
        <w:t xml:space="preserve"> </w:t>
      </w:r>
      <w:r>
        <w:rPr>
          <w:rStyle w:val="VerbatimChar"/>
          <w:rFonts w:ascii="Roboto Mono" w:hAnsi="Roboto Mono" w:eastAsia="Roboto Mono" w:cs="Roboto Mono"/>
        </w:rPr>
        <w:t xml:space="preserve">R_M</w:t>
      </w:r>
      <w:r>
        <w:rPr>
          <w:rFonts w:ascii="Roboto" w:hAnsi="Roboto" w:eastAsia="Roboto" w:cs="Roboto"/>
        </w:rPr>
        <w:t xml:space="preserve">. Cash uses a ratio of 1.0.</w:t>
      </w:r>
    </w:p>
    <w:p>
      <w:pPr>
        <w:pStyle w:val="SourceCode"/>
        <w:shd w:fill="EEF0F4"/>
        <w:spacing w:before="80" w:after="140"/>
        <w:ind w:left="173" w:right="173"/>
      </w:pPr>
      <w:r>
        <w:rPr>
          <w:rStyle w:val="VerbatimChar"/>
          <w:rFonts w:ascii="Roboto Mono" w:hAnsi="Roboto Mono" w:eastAsia="Roboto Mono" w:cs="Roboto Mono"/>
          <w:sz w:val="17"/>
        </w:rPr>
        <w:t xml:space="preserve">D = Σ[w_i(t0) × R_i] + w_T(t0) × R_M</w:t>
      </w:r>
      <w:r>
        <w:rPr>
          <w:rFonts w:ascii="Roboto Mono" w:hAnsi="Roboto Mono" w:eastAsia="Roboto Mono" w:cs="Roboto Mono"/>
          <w:sz w:val="17"/>
        </w:rPr>
        <w:br/>
      </w:r>
      <w:r>
        <w:rPr>
          <w:rFonts w:ascii="Roboto Mono" w:hAnsi="Roboto Mono" w:eastAsia="Roboto Mono" w:cs="Roboto Mono"/>
          <w:sz w:val="17"/>
        </w:rPr>
        <w:br/>
      </w:r>
      <w:r>
        <w:rPr>
          <w:rStyle w:val="VerbatimChar"/>
          <w:rFonts w:ascii="Roboto Mono" w:hAnsi="Roboto Mono" w:eastAsia="Roboto Mono" w:cs="Roboto Mono"/>
          <w:sz w:val="17"/>
        </w:rPr>
        <w:t xml:space="preserve">holding_weight_i = 100 × w_i(t0) × R_i / D</w:t>
      </w:r>
      <w:r>
        <w:rPr>
          <w:rFonts w:ascii="Roboto Mono" w:hAnsi="Roboto Mono" w:eastAsia="Roboto Mono" w:cs="Roboto Mono"/>
          <w:sz w:val="17"/>
        </w:rPr>
        <w:br/>
      </w:r>
      <w:r>
        <w:rPr>
          <w:rFonts w:ascii="Roboto Mono" w:hAnsi="Roboto Mono" w:eastAsia="Roboto Mono" w:cs="Roboto Mono"/>
          <w:sz w:val="17"/>
        </w:rPr>
        <w:br/>
      </w:r>
      <w:r>
        <w:rPr>
          <w:rStyle w:val="VerbatimChar"/>
          <w:rFonts w:ascii="Roboto Mono" w:hAnsi="Roboto Mono" w:eastAsia="Roboto Mono" w:cs="Roboto Mono"/>
          <w:sz w:val="17"/>
        </w:rPr>
        <w:t xml:space="preserve">aggregate holding_weight</w:t>
      </w:r>
      <w:r>
        <w:rPr>
          <w:rFonts w:ascii="Roboto Mono" w:hAnsi="Roboto Mono" w:eastAsia="Roboto Mono" w:cs="Roboto Mono"/>
          <w:sz w:val="17"/>
        </w:rPr>
        <w:br/>
      </w:r>
      <w:r>
        <w:rPr>
          <w:rStyle w:val="VerbatimChar"/>
          <w:rFonts w:ascii="Roboto Mono" w:hAnsi="Roboto Mono" w:eastAsia="Roboto Mono" w:cs="Roboto Mono"/>
          <w:sz w:val="17"/>
        </w:rPr>
        <w:t xml:space="preserve">    = 100 × w_T(t0) × R_M / D</w:t>
      </w:r>
    </w:p>
    <w:p>
      <w:pPr>
        <w:pStyle w:val="FirstParagraph"/>
      </w:pPr>
      <w:r>
        <w:rPr>
          <w:rFonts w:ascii="Roboto" w:hAnsi="Roboto" w:eastAsia="Roboto" w:cs="Roboto"/>
        </w:rPr>
        <w:t xml:space="preserve">The denominator is a signed net total. Under the standard calculation, all published</w:t>
      </w:r>
      <w:r>
        <w:rPr>
          <w:rFonts w:ascii="Roboto" w:hAnsi="Roboto" w:eastAsia="Roboto" w:cs="Roboto"/>
        </w:rPr>
        <w:t xml:space="preserve"> </w:t>
      </w:r>
      <w:r>
        <w:rPr>
          <w:rStyle w:val="VerbatimChar"/>
          <w:rFonts w:ascii="Roboto Mono" w:hAnsi="Roboto Mono" w:eastAsia="Roboto Mono" w:cs="Roboto Mono"/>
        </w:rPr>
        <w:t xml:space="preserve">holding_weight</w:t>
      </w:r>
      <w:r>
        <w:rPr>
          <w:rFonts w:ascii="Roboto" w:hAnsi="Roboto" w:eastAsia="Roboto" w:cs="Roboto"/>
        </w:rPr>
        <w:t xml:space="preserve"> </w:t>
      </w:r>
      <w:r>
        <w:rPr>
          <w:rFonts w:ascii="Roboto" w:hAnsi="Roboto" w:eastAsia="Roboto" w:cs="Roboto"/>
        </w:rPr>
        <w:t xml:space="preserve">values sum to 100%. Long weights can sum above 100%; negative short and offset weights bring the net total back to 100%.</w:t>
      </w:r>
    </w:p>
    <w:p>
      <w:pPr>
        <w:pStyle w:val="BodyText"/>
      </w:pPr>
      <w:r>
        <w:rPr>
          <w:rFonts w:ascii="Roboto" w:hAnsi="Roboto" w:eastAsia="Roboto" w:cs="Roboto"/>
        </w:rPr>
        <w:t xml:space="preserve">For the published rows:</w:t>
      </w:r>
    </w:p>
    <w:p>
      <w:pPr>
        <w:pStyle w:val="SourceCode"/>
        <w:shd w:fill="EEF0F4"/>
        <w:spacing w:before="80" w:after="140"/>
        <w:ind w:left="173" w:right="173"/>
      </w:pPr>
      <w:r>
        <w:rPr>
          <w:rStyle w:val="VerbatimChar"/>
          <w:rFonts w:ascii="Roboto Mono" w:hAnsi="Roboto Mono" w:eastAsia="Roboto Mono" w:cs="Roboto Mono"/>
          <w:sz w:val="17"/>
        </w:rPr>
        <w:t xml:space="preserve">long exposure            = Σ max(holding_weight_i, 0)</w:t>
      </w:r>
      <w:r>
        <w:rPr>
          <w:rFonts w:ascii="Roboto Mono" w:hAnsi="Roboto Mono" w:eastAsia="Roboto Mono" w:cs="Roboto Mono"/>
          <w:sz w:val="17"/>
        </w:rPr>
        <w:br/>
      </w:r>
      <w:r>
        <w:rPr>
          <w:rStyle w:val="VerbatimChar"/>
          <w:rFonts w:ascii="Roboto Mono" w:hAnsi="Roboto Mono" w:eastAsia="Roboto Mono" w:cs="Roboto Mono"/>
          <w:sz w:val="17"/>
        </w:rPr>
        <w:t xml:space="preserve">short/offset contribution = Σ min(holding_weight_i, 0)</w:t>
      </w:r>
      <w:r>
        <w:rPr>
          <w:rFonts w:ascii="Roboto Mono" w:hAnsi="Roboto Mono" w:eastAsia="Roboto Mono" w:cs="Roboto Mono"/>
          <w:sz w:val="17"/>
        </w:rPr>
        <w:br/>
      </w:r>
      <w:r>
        <w:rPr>
          <w:rStyle w:val="VerbatimChar"/>
          <w:rFonts w:ascii="Roboto Mono" w:hAnsi="Roboto Mono" w:eastAsia="Roboto Mono" w:cs="Roboto Mono"/>
          <w:sz w:val="17"/>
        </w:rPr>
        <w:t xml:space="preserve">net exposure             = long exposure + short/offset contribution = 100%</w:t>
      </w:r>
      <w:r>
        <w:rPr>
          <w:rFonts w:ascii="Roboto Mono" w:hAnsi="Roboto Mono" w:eastAsia="Roboto Mono" w:cs="Roboto Mono"/>
          <w:sz w:val="17"/>
        </w:rPr>
        <w:br/>
      </w:r>
      <w:r>
        <w:rPr>
          <w:rStyle w:val="VerbatimChar"/>
          <w:rFonts w:ascii="Roboto Mono" w:hAnsi="Roboto Mono" w:eastAsia="Roboto Mono" w:cs="Roboto Mono"/>
          <w:sz w:val="17"/>
        </w:rPr>
        <w:t xml:space="preserve">gross exposure           = long exposure + abs(short/offset contribution)</w:t>
      </w:r>
    </w:p>
    <w:p>
      <w:pPr>
        <w:pStyle w:val="FirstParagraph"/>
      </w:pPr>
      <w:r>
        <w:rPr>
          <w:rFonts w:ascii="Roboto" w:hAnsi="Roboto" w:eastAsia="Roboto" w:cs="Roboto"/>
        </w:rPr>
        <w:t xml:space="preserve">Because the aggregate remainder is net, its internal long and short exposures stay unavailable for the gross calculation. Gross exposure calculated from the published rows therefore reflects retained positions plus the aggregate’s net amount.</w:t>
      </w:r>
    </w:p>
    <w:p>
      <w:pPr>
        <w:pStyle w:val="BodyText"/>
      </w:pPr>
      <w:r>
        <w:rPr>
          <w:rFonts w:ascii="Roboto" w:hAnsi="Roboto" w:eastAsia="Roboto" w:cs="Roboto"/>
        </w:rPr>
        <w:t xml:space="preserve">A denominator close to zero causes source weights to pass through. A portfolio with zero usable price pairs uses a ratio of 1.0 throughout.</w:t>
      </w:r>
    </w:p>
    <w:p>
      <w:r>
        <w:rPr>
          <w:rFonts w:ascii="Roboto" w:hAnsi="Roboto" w:eastAsia="Roboto" w:cs="Roboto"/>
        </w:rPr>
        <w:pict>
          <v:rect style="width:0;height:1.5pt" o:hralign="center" o:hrstd="t" o:hr="t"/>
        </w:pict>
      </w:r>
    </w:p>
    <w:bookmarkEnd w:id="23"/>
    <w:bookmarkStart w:id="24" w:name="price-evidence-and-corporate-actions"/>
    <w:p>
      <w:pPr>
        <w:pStyle w:val="Heading1"/>
      </w:pPr>
      <w:r>
        <w:rPr>
          <w:rFonts w:ascii="Roboto" w:hAnsi="Roboto" w:eastAsia="Roboto" w:cs="Roboto"/>
        </w:rPr>
        <w:t xml:space="preserve">Price evidence and corporate actions</w:t>
      </w:r>
    </w:p>
    <w:p>
      <w:pPr>
        <w:pStyle w:val="FirstParagraph"/>
      </w:pPr>
      <w:r>
        <w:rPr>
          <w:rFonts w:ascii="Roboto" w:hAnsi="Roboto" w:eastAsia="Roboto" w:cs="Roboto"/>
        </w:rPr>
        <w:t xml:space="preserve">Both sides of a price ratio use the newest eligible observation on or before their target date within seven calendar days:</w:t>
      </w:r>
    </w:p>
    <w:p>
      <w:pPr>
        <w:pStyle w:val="Compact"/>
        <w:numPr>
          <w:ilvl w:val="0"/>
          <w:numId w:val="1002"/>
        </w:numPr>
      </w:pPr>
      <w:r>
        <w:rPr>
          <w:rFonts w:ascii="Roboto" w:hAnsi="Roboto" w:eastAsia="Roboto" w:cs="Roboto"/>
        </w:rPr>
        <w:t xml:space="preserve">Exchange-traded instruments use consolidated closing prices.</w:t>
      </w:r>
    </w:p>
    <w:p>
      <w:pPr>
        <w:pStyle w:val="Compact"/>
        <w:numPr>
          <w:ilvl w:val="0"/>
          <w:numId w:val="1002"/>
        </w:numPr>
      </w:pPr>
      <w:r>
        <w:rPr>
          <w:rFonts w:ascii="Roboto" w:hAnsi="Roboto" w:eastAsia="Roboto" w:cs="Roboto"/>
        </w:rPr>
        <w:t xml:space="preserve">Corporate bonds use SQX evaluated clean prices.</w:t>
      </w:r>
    </w:p>
    <w:p>
      <w:pPr>
        <w:pStyle w:val="Compact"/>
        <w:numPr>
          <w:ilvl w:val="0"/>
          <w:numId w:val="1002"/>
        </w:numPr>
      </w:pPr>
      <w:r>
        <w:rPr>
          <w:rFonts w:ascii="Roboto" w:hAnsi="Roboto" w:eastAsia="Roboto" w:cs="Roboto"/>
        </w:rPr>
        <w:t xml:space="preserve">Municipal bonds use SQX evaluated bid-side prices.</w:t>
      </w:r>
    </w:p>
    <w:p>
      <w:pPr>
        <w:pStyle w:val="Compact"/>
        <w:numPr>
          <w:ilvl w:val="0"/>
          <w:numId w:val="1002"/>
        </w:numPr>
      </w:pPr>
      <w:r>
        <w:rPr>
          <w:rFonts w:ascii="Roboto" w:hAnsi="Roboto" w:eastAsia="Roboto" w:cs="Roboto"/>
        </w:rPr>
        <w:t xml:space="preserve">Fund holdings can use fund NAV.</w:t>
      </w:r>
    </w:p>
    <w:p>
      <w:pPr>
        <w:pStyle w:val="FirstParagraph"/>
      </w:pPr>
      <w:r>
        <w:rPr>
          <w:rFonts w:ascii="Roboto" w:hAnsi="Roboto" w:eastAsia="Roboto" w:cs="Roboto"/>
        </w:rPr>
        <w:t xml:space="preserve">Both observations share a source family, price definition, and currency. Where the filing identifies the instrument currency, price selection uses that currency.</w:t>
      </w:r>
    </w:p>
    <w:p>
      <w:pPr>
        <w:pStyle w:val="BodyText"/>
      </w:pPr>
      <w:r>
        <w:rPr>
          <w:rFonts w:ascii="Roboto" w:hAnsi="Roboto" w:eastAsia="Roboto" w:cs="Roboto"/>
        </w:rPr>
        <w:t xml:space="preserve">Supported corporate actions adjust the ratio where price evidence and event terms agree. These include splits, cash and stock mergers, and spin-offs. Incomplete event terms and unexplained split-like movements use the portfolio median ratio. Positions lacking an eligible pair also use the median ratio. Cash remains at 1.0.</w:t>
      </w:r>
    </w:p>
    <w:p>
      <w:r>
        <w:rPr>
          <w:rFonts w:ascii="Roboto" w:hAnsi="Roboto" w:eastAsia="Roboto" w:cs="Roboto"/>
        </w:rPr>
        <w:pict>
          <v:rect style="width:0;height:1.5pt" o:hralign="center" o:hrstd="t" o:hr="t"/>
        </w:pict>
      </w:r>
    </w:p>
    <w:bookmarkEnd w:id="24"/>
    <w:bookmarkStart w:id="25" w:name="position-value-and-fx"/>
    <w:p>
      <w:pPr>
        <w:pStyle w:val="Heading1"/>
      </w:pPr>
      <w:r>
        <w:rPr>
          <w:rFonts w:ascii="Roboto" w:hAnsi="Roboto" w:eastAsia="Roboto" w:cs="Roboto"/>
        </w:rPr>
        <w:t xml:space="preserve">Position value and FX</w:t>
      </w:r>
    </w:p>
    <w:p>
      <w:pPr>
        <w:pStyle w:val="FirstParagraph"/>
      </w:pPr>
      <w:r>
        <w:rPr>
          <w:rStyle w:val="VerbatimChar"/>
          <w:rFonts w:ascii="Roboto Mono" w:hAnsi="Roboto Mono" w:eastAsia="Roboto Mono" w:cs="Roboto Mono"/>
        </w:rPr>
        <w:t xml:space="preserve">holding_value</w:t>
      </w:r>
      <w:r>
        <w:rPr>
          <w:rFonts w:ascii="Roboto" w:hAnsi="Roboto" w:eastAsia="Roboto" w:cs="Roboto"/>
        </w:rPr>
        <w:t xml:space="preserve"> </w:t>
      </w:r>
      <w:r>
        <w:rPr>
          <w:rFonts w:ascii="Roboto" w:hAnsi="Roboto" w:eastAsia="Roboto" w:cs="Roboto"/>
        </w:rPr>
        <w:t xml:space="preserve">begins with the value reported on</w:t>
      </w:r>
      <w:r>
        <w:rPr>
          <w:rFonts w:ascii="Roboto" w:hAnsi="Roboto" w:eastAsia="Roboto" w:cs="Roboto"/>
        </w:rPr>
        <w:t xml:space="preserve"> </w:t>
      </w:r>
      <w:r>
        <w:rPr>
          <w:rStyle w:val="VerbatimChar"/>
          <w:rFonts w:ascii="Roboto Mono" w:hAnsi="Roboto Mono" w:eastAsia="Roboto Mono" w:cs="Roboto Mono"/>
        </w:rPr>
        <w:t xml:space="preserve">data_source_date</w:t>
      </w:r>
      <w:r>
        <w:rPr>
          <w:rFonts w:ascii="Roboto" w:hAnsi="Roboto" w:eastAsia="Roboto" w:cs="Roboto"/>
        </w:rPr>
        <w:t xml:space="preserve">. The engine file applies the ratio used for the weight projection:</w:t>
      </w:r>
    </w:p>
    <w:p>
      <w:pPr>
        <w:pStyle w:val="SourceCode"/>
        <w:shd w:fill="EEF0F4"/>
        <w:spacing w:before="80" w:after="140"/>
        <w:ind w:left="173" w:right="173"/>
      </w:pPr>
      <w:r>
        <w:rPr>
          <w:rStyle w:val="VerbatimChar"/>
          <w:rFonts w:ascii="Roboto Mono" w:hAnsi="Roboto Mono" w:eastAsia="Roboto Mono" w:cs="Roboto Mono"/>
          <w:sz w:val="17"/>
        </w:rPr>
        <w:t xml:space="preserve">holding_value = reported position value × R_i</w:t>
      </w:r>
    </w:p>
    <w:p>
      <w:pPr>
        <w:pStyle w:val="FirstParagraph"/>
      </w:pPr>
      <w:r>
        <w:rPr>
          <w:rStyle w:val="VerbatimChar"/>
          <w:rFonts w:ascii="Roboto Mono" w:hAnsi="Roboto Mono" w:eastAsia="Roboto Mono" w:cs="Roboto Mono"/>
        </w:rPr>
        <w:t xml:space="preserve">holding_weight</w:t>
      </w:r>
      <w:r>
        <w:rPr>
          <w:rFonts w:ascii="Roboto" w:hAnsi="Roboto" w:eastAsia="Roboto" w:cs="Roboto"/>
        </w:rPr>
        <w:t xml:space="preserve"> </w:t>
      </w:r>
      <w:r>
        <w:rPr>
          <w:rFonts w:ascii="Roboto" w:hAnsi="Roboto" w:eastAsia="Roboto" w:cs="Roboto"/>
        </w:rPr>
        <w:t xml:space="preserve">is the signed exposure measure.</w:t>
      </w:r>
      <w:r>
        <w:rPr>
          <w:rFonts w:ascii="Roboto" w:hAnsi="Roboto" w:eastAsia="Roboto" w:cs="Roboto"/>
        </w:rPr>
        <w:t xml:space="preserve"> </w:t>
      </w:r>
      <w:r>
        <w:rPr>
          <w:rStyle w:val="VerbatimChar"/>
          <w:rFonts w:ascii="Roboto Mono" w:hAnsi="Roboto Mono" w:eastAsia="Roboto Mono" w:cs="Roboto Mono"/>
        </w:rPr>
        <w:t xml:space="preserve">holding_value</w:t>
      </w:r>
      <w:r>
        <w:rPr>
          <w:rFonts w:ascii="Roboto" w:hAnsi="Roboto" w:eastAsia="Roboto" w:cs="Roboto"/>
        </w:rPr>
        <w:t xml:space="preserve"> </w:t>
      </w:r>
      <w:r>
        <w:rPr>
          <w:rFonts w:ascii="Roboto" w:hAnsi="Roboto" w:eastAsia="Roboto" w:cs="Roboto"/>
        </w:rPr>
        <w:t xml:space="preserve">follows the source value convention, which can report a positive value beside a negative weight. Net and gross calculations therefore use</w:t>
      </w:r>
      <w:r>
        <w:rPr>
          <w:rFonts w:ascii="Roboto" w:hAnsi="Roboto" w:eastAsia="Roboto" w:cs="Roboto"/>
        </w:rPr>
        <w:t xml:space="preserve"> </w:t>
      </w:r>
      <w:r>
        <w:rPr>
          <w:rStyle w:val="VerbatimChar"/>
          <w:rFonts w:ascii="Roboto Mono" w:hAnsi="Roboto Mono" w:eastAsia="Roboto Mono" w:cs="Roboto Mono"/>
        </w:rPr>
        <w:t xml:space="preserve">holding_weight</w:t>
      </w:r>
      <w:r>
        <w:rPr>
          <w:rFonts w:ascii="Roboto" w:hAnsi="Roboto" w:eastAsia="Roboto" w:cs="Roboto"/>
        </w:rPr>
        <w:t xml:space="preserve">.</w:t>
      </w:r>
    </w:p>
    <w:p>
      <w:pPr>
        <w:pStyle w:val="BodyText"/>
      </w:pPr>
      <w:r>
        <w:rPr>
          <w:rStyle w:val="VerbatimChar"/>
          <w:rFonts w:ascii="Roboto Mono" w:hAnsi="Roboto Mono" w:eastAsia="Roboto Mono" w:cs="Roboto Mono"/>
        </w:rPr>
        <w:t xml:space="preserve">holding_value_currency</w:t>
      </w:r>
      <w:r>
        <w:rPr>
          <w:rFonts w:ascii="Roboto" w:hAnsi="Roboto" w:eastAsia="Roboto" w:cs="Roboto"/>
        </w:rPr>
        <w:t xml:space="preserve"> </w:t>
      </w:r>
      <w:r>
        <w:rPr>
          <w:rFonts w:ascii="Roboto" w:hAnsi="Roboto" w:eastAsia="Roboto" w:cs="Roboto"/>
        </w:rPr>
        <w:t xml:space="preserve">identifies the source reporting currency. It can differ from the security’s trading currency. N-PORT values are USD; EDINET values are JPY; sponsor files use their identified reporting currency.</w:t>
      </w:r>
    </w:p>
    <w:p>
      <w:pPr>
        <w:pStyle w:val="BodyText"/>
      </w:pPr>
      <w:r>
        <w:rPr>
          <w:rStyle w:val="VerbatimChar"/>
          <w:rFonts w:ascii="Roboto Mono" w:hAnsi="Roboto Mono" w:eastAsia="Roboto Mono" w:cs="Roboto Mono"/>
        </w:rPr>
        <w:t xml:space="preserve">fx_rate</w:t>
      </w:r>
      <w:r>
        <w:rPr>
          <w:rFonts w:ascii="Roboto" w:hAnsi="Roboto" w:eastAsia="Roboto" w:cs="Roboto"/>
        </w:rPr>
        <w:t xml:space="preserve"> </w:t>
      </w:r>
      <w:r>
        <w:rPr>
          <w:rFonts w:ascii="Roboto" w:hAnsi="Roboto" w:eastAsia="Roboto" w:cs="Roboto"/>
        </w:rPr>
        <w:t xml:space="preserve">is units of</w:t>
      </w:r>
      <w:r>
        <w:rPr>
          <w:rFonts w:ascii="Roboto" w:hAnsi="Roboto" w:eastAsia="Roboto" w:cs="Roboto"/>
        </w:rPr>
        <w:t xml:space="preserve"> </w:t>
      </w:r>
      <w:r>
        <w:rPr>
          <w:rStyle w:val="VerbatimChar"/>
          <w:rFonts w:ascii="Roboto Mono" w:hAnsi="Roboto Mono" w:eastAsia="Roboto Mono" w:cs="Roboto Mono"/>
        </w:rPr>
        <w:t xml:space="preserve">holding_value_currency</w:t>
      </w:r>
      <w:r>
        <w:rPr>
          <w:rFonts w:ascii="Roboto" w:hAnsi="Roboto" w:eastAsia="Roboto" w:cs="Roboto"/>
        </w:rPr>
        <w:t xml:space="preserve"> </w:t>
      </w:r>
      <w:r>
        <w:rPr>
          <w:rFonts w:ascii="Roboto" w:hAnsi="Roboto" w:eastAsia="Roboto" w:cs="Roboto"/>
        </w:rPr>
        <w:t xml:space="preserve">per U.S. dollar. The selected rate is the newest rate on or before</w:t>
      </w:r>
      <w:r>
        <w:rPr>
          <w:rFonts w:ascii="Roboto" w:hAnsi="Roboto" w:eastAsia="Roboto" w:cs="Roboto"/>
        </w:rPr>
        <w:t xml:space="preserve"> </w:t>
      </w:r>
      <w:r>
        <w:rPr>
          <w:rStyle w:val="VerbatimChar"/>
          <w:rFonts w:ascii="Roboto Mono" w:hAnsi="Roboto Mono" w:eastAsia="Roboto Mono" w:cs="Roboto Mono"/>
        </w:rPr>
        <w:t xml:space="preserve">data_source_date</w:t>
      </w:r>
      <w:r>
        <w:rPr>
          <w:rFonts w:ascii="Roboto" w:hAnsi="Roboto" w:eastAsia="Roboto" w:cs="Roboto"/>
        </w:rPr>
        <w:t xml:space="preserve"> </w:t>
      </w:r>
      <w:r>
        <w:rPr>
          <w:rFonts w:ascii="Roboto" w:hAnsi="Roboto" w:eastAsia="Roboto" w:cs="Roboto"/>
        </w:rPr>
        <w:t xml:space="preserve">within seven calendar days.</w:t>
      </w:r>
    </w:p>
    <w:p>
      <w:pPr>
        <w:pStyle w:val="SourceCode"/>
        <w:shd w:fill="EEF0F4"/>
        <w:spacing w:before="80" w:after="140"/>
        <w:ind w:left="173" w:right="173"/>
      </w:pPr>
      <w:r>
        <w:rPr>
          <w:rStyle w:val="VerbatimChar"/>
          <w:rFonts w:ascii="Roboto Mono" w:hAnsi="Roboto Mono" w:eastAsia="Roboto Mono" w:cs="Roboto Mono"/>
          <w:sz w:val="17"/>
        </w:rPr>
        <w:t xml:space="preserve">holding value in USD = holding_value / fx_rate</w:t>
      </w:r>
    </w:p>
    <w:p>
      <w:pPr>
        <w:pStyle w:val="FirstParagraph"/>
      </w:pPr>
      <w:r>
        <w:rPr>
          <w:rFonts w:ascii="Roboto" w:hAnsi="Roboto" w:eastAsia="Roboto" w:cs="Roboto"/>
        </w:rPr>
        <w:t xml:space="preserve">USD values publish a blank</w:t>
      </w:r>
      <w:r>
        <w:rPr>
          <w:rFonts w:ascii="Roboto" w:hAnsi="Roboto" w:eastAsia="Roboto" w:cs="Roboto"/>
        </w:rPr>
        <w:t xml:space="preserve"> </w:t>
      </w:r>
      <w:r>
        <w:rPr>
          <w:rStyle w:val="VerbatimChar"/>
          <w:rFonts w:ascii="Roboto Mono" w:hAnsi="Roboto Mono" w:eastAsia="Roboto Mono" w:cs="Roboto Mono"/>
        </w:rPr>
        <w:t xml:space="preserve">fx_rate</w:t>
      </w:r>
      <w:r>
        <w:rPr>
          <w:rFonts w:ascii="Roboto" w:hAnsi="Roboto" w:eastAsia="Roboto" w:cs="Roboto"/>
        </w:rPr>
        <w:t xml:space="preserve">, equivalent to 1. A foreign-currency value remains available in its reporting currency where an FX rate is unavailable. Post-report currency movement falls outside the projection.</w:t>
      </w:r>
    </w:p>
    <w:p>
      <w:pPr>
        <w:pStyle w:val="BodyText"/>
      </w:pPr>
      <w:r>
        <w:rPr>
          <w:rFonts w:ascii="Roboto" w:hAnsi="Roboto" w:eastAsia="Roboto" w:cs="Roboto"/>
        </w:rPr>
        <w:t xml:space="preserve">The aggregate remainder receives a value where the retained source values establish a shared reporting currency and support an implied amount. Mixed or unresolved reporting currencies produce a blank aggregate value.</w:t>
      </w:r>
    </w:p>
    <w:p>
      <w:r>
        <w:rPr>
          <w:rFonts w:ascii="Roboto" w:hAnsi="Roboto" w:eastAsia="Roboto" w:cs="Roboto"/>
        </w:rPr>
        <w:pict>
          <v:rect style="width:0;height:1.5pt" o:hralign="center" o:hrstd="t" o:hr="t"/>
        </w:pict>
      </w:r>
    </w:p>
    <w:bookmarkEnd w:id="25"/>
    <w:bookmarkStart w:id="26" w:name="share-counts-and-classifications"/>
    <w:p>
      <w:pPr>
        <w:pStyle w:val="Heading1"/>
      </w:pPr>
      <w:r>
        <w:rPr>
          <w:rFonts w:ascii="Roboto" w:hAnsi="Roboto" w:eastAsia="Roboto" w:cs="Roboto"/>
        </w:rPr>
        <w:t xml:space="preserve">Share counts and classifications</w:t>
      </w:r>
    </w:p>
    <w:p>
      <w:pPr>
        <w:pStyle w:val="FirstParagraph"/>
      </w:pPr>
      <w:r>
        <w:rPr>
          <w:rStyle w:val="VerbatimChar"/>
          <w:rFonts w:ascii="Roboto Mono" w:hAnsi="Roboto Mono" w:eastAsia="Roboto Mono" w:cs="Roboto Mono"/>
        </w:rPr>
        <w:t xml:space="preserve">num_shares</w:t>
      </w:r>
      <w:r>
        <w:rPr>
          <w:rFonts w:ascii="Roboto" w:hAnsi="Roboto" w:eastAsia="Roboto" w:cs="Roboto"/>
        </w:rPr>
        <w:t xml:space="preserve"> </w:t>
      </w:r>
      <w:r>
        <w:rPr>
          <w:rFonts w:ascii="Roboto" w:hAnsi="Roboto" w:eastAsia="Roboto" w:cs="Roboto"/>
        </w:rPr>
        <w:t xml:space="preserve">is populated where the source balance unit is number of shares. Principal amounts, contract counts, other units, and the aggregate remainder produce a blank value.</w:t>
      </w:r>
    </w:p>
    <w:p>
      <w:pPr>
        <w:pStyle w:val="BodyText"/>
      </w:pPr>
      <w:r>
        <w:rPr>
          <w:rStyle w:val="VerbatimChar"/>
          <w:rFonts w:ascii="Roboto Mono" w:hAnsi="Roboto Mono" w:eastAsia="Roboto Mono" w:cs="Roboto Mono"/>
        </w:rPr>
        <w:t xml:space="preserve">num_shares_change_percent</w:t>
      </w:r>
      <w:r>
        <w:rPr>
          <w:rFonts w:ascii="Roboto" w:hAnsi="Roboto" w:eastAsia="Roboto" w:cs="Roboto"/>
        </w:rPr>
        <w:t xml:space="preserve"> </w:t>
      </w:r>
      <w:r>
        <w:rPr>
          <w:rFonts w:ascii="Roboto" w:hAnsi="Roboto" w:eastAsia="Roboto" w:cs="Roboto"/>
        </w:rPr>
        <w:t xml:space="preserve">compares the two newest portfolio reports where both observations are share counts and the earlier count is positive:</w:t>
      </w:r>
    </w:p>
    <w:p>
      <w:pPr>
        <w:pStyle w:val="SourceCode"/>
        <w:shd w:fill="EEF0F4"/>
        <w:spacing w:before="80" w:after="140"/>
        <w:ind w:left="173" w:right="173"/>
      </w:pPr>
      <w:r>
        <w:rPr>
          <w:rStyle w:val="VerbatimChar"/>
          <w:rFonts w:ascii="Roboto Mono" w:hAnsi="Roboto Mono" w:eastAsia="Roboto Mono" w:cs="Roboto Mono"/>
          <w:sz w:val="17"/>
        </w:rPr>
        <w:t xml:space="preserve">num_shares_change_percent</w:t>
      </w:r>
      <w:r>
        <w:rPr>
          <w:rFonts w:ascii="Roboto Mono" w:hAnsi="Roboto Mono" w:eastAsia="Roboto Mono" w:cs="Roboto Mono"/>
          <w:sz w:val="17"/>
        </w:rPr>
        <w:br/>
      </w:r>
      <w:r>
        <w:rPr>
          <w:rStyle w:val="VerbatimChar"/>
          <w:rFonts w:ascii="Roboto Mono" w:hAnsi="Roboto Mono" w:eastAsia="Roboto Mono" w:cs="Roboto Mono"/>
          <w:sz w:val="17"/>
        </w:rPr>
        <w:t xml:space="preserve">    = 100 × (current num_shares - previous num_shares)</w:t>
      </w:r>
      <w:r>
        <w:rPr>
          <w:rFonts w:ascii="Roboto Mono" w:hAnsi="Roboto Mono" w:eastAsia="Roboto Mono" w:cs="Roboto Mono"/>
          <w:sz w:val="17"/>
        </w:rPr>
        <w:br/>
      </w:r>
      <w:r>
        <w:rPr>
          <w:rStyle w:val="VerbatimChar"/>
          <w:rFonts w:ascii="Roboto Mono" w:hAnsi="Roboto Mono" w:eastAsia="Roboto Mono" w:cs="Roboto Mono"/>
          <w:sz w:val="17"/>
        </w:rPr>
        <w:t xml:space="preserve">            / previous num_shares</w:t>
      </w:r>
    </w:p>
    <w:p>
      <w:pPr>
        <w:pStyle w:val="FirstParagraph"/>
      </w:pPr>
      <w:r>
        <w:rPr>
          <w:rFonts w:ascii="Roboto" w:hAnsi="Roboto" w:eastAsia="Roboto" w:cs="Roboto"/>
        </w:rPr>
        <w:t xml:space="preserve">The field is blank where the comparison lacks an earlier report, a position match, or a share count on either date.</w:t>
      </w:r>
    </w:p>
    <w:p>
      <w:pPr>
        <w:pStyle w:val="BodyText"/>
      </w:pPr>
      <w:r>
        <w:rPr>
          <w:rStyle w:val="VerbatimChar"/>
          <w:rFonts w:ascii="Roboto Mono" w:hAnsi="Roboto Mono" w:eastAsia="Roboto Mono" w:cs="Roboto Mono"/>
        </w:rPr>
        <w:t xml:space="preserve">asset_category</w:t>
      </w:r>
      <w:r>
        <w:rPr>
          <w:rFonts w:ascii="Roboto" w:hAnsi="Roboto" w:eastAsia="Roboto" w:cs="Roboto"/>
        </w:rPr>
        <w:t xml:space="preserve"> </w:t>
      </w:r>
      <w:r>
        <w:rPr>
          <w:rFonts w:ascii="Roboto" w:hAnsi="Roboto" w:eastAsia="Roboto" w:cs="Roboto"/>
        </w:rPr>
        <w:t xml:space="preserve">translates recognized regulatory codes into readable asset types. Unmapped codes pass through.</w:t>
      </w:r>
      <w:r>
        <w:rPr>
          <w:rFonts w:ascii="Roboto" w:hAnsi="Roboto" w:eastAsia="Roboto" w:cs="Roboto"/>
        </w:rPr>
        <w:t xml:space="preserve"> </w:t>
      </w:r>
      <w:r>
        <w:rPr>
          <w:rStyle w:val="VerbatimChar"/>
          <w:rFonts w:ascii="Roboto Mono" w:hAnsi="Roboto Mono" w:eastAsia="Roboto Mono" w:cs="Roboto Mono"/>
        </w:rPr>
        <w:t xml:space="preserve">issuer_category</w:t>
      </w:r>
      <w:r>
        <w:rPr>
          <w:rFonts w:ascii="Roboto" w:hAnsi="Roboto" w:eastAsia="Roboto" w:cs="Roboto"/>
        </w:rPr>
        <w:t xml:space="preserve"> </w:t>
      </w:r>
      <w:r>
        <w:rPr>
          <w:rFonts w:ascii="Roboto" w:hAnsi="Roboto" w:eastAsia="Roboto" w:cs="Roboto"/>
        </w:rPr>
        <w:t xml:space="preserve">describes the issuer type, such as corporate, registered fund, municipal, U.S. Treasury, government agency, or sovereign.</w:t>
      </w:r>
    </w:p>
    <w:p>
      <w:r>
        <w:rPr>
          <w:rFonts w:ascii="Roboto" w:hAnsi="Roboto" w:eastAsia="Roboto" w:cs="Roboto"/>
        </w:rPr>
        <w:pict>
          <v:rect style="width:0;height:1.5pt" o:hralign="center" o:hrstd="t" o:hr="t"/>
        </w:pict>
      </w:r>
    </w:p>
    <w:bookmarkEnd w:id="26"/>
    <w:bookmarkStart w:id="27" w:name="delivery-channels"/>
    <w:p>
      <w:pPr>
        <w:pStyle w:val="Heading1"/>
      </w:pPr>
      <w:r>
        <w:rPr>
          <w:rFonts w:ascii="Roboto" w:hAnsi="Roboto" w:eastAsia="Roboto" w:cs="Roboto"/>
        </w:rPr>
        <w:t xml:space="preserve">Delivery channels</w:t>
      </w:r>
    </w:p>
    <w:p>
      <w:pPr>
        <w:pStyle w:val="FirstParagraph"/>
      </w:pPr>
      <w:r>
        <w:rPr>
          <w:rFonts w:ascii="Roboto" w:hAnsi="Roboto" w:eastAsia="Roboto" w:cs="Roboto"/>
        </w:rPr>
        <w:t xml:space="preserve">Both channels publish identical columns in identical order.</w:t>
      </w:r>
    </w:p>
    <w:tbl>
      <w:tblPr>
        <w:tblStyle w:val="Table"/>
        <w:tblW w:type="pct" w:w="5000"/>
        <w:tblLayout w:type="fixed"/>
        <w:tblLook w:firstRow="1" w:lastRow="0" w:firstColumn="0" w:lastColumn="0" w:noHBand="0" w:noVBand="0" w:val="0020"/>
        <w:jc w:val="left"/>
        <w:tblBorders>
          <w:top w:val="single" w:sz="4" w:space="0" w:color="DDE1E8"/>
          <w:left w:val="single" w:sz="4" w:space="0" w:color="DDE1E8"/>
          <w:bottom w:val="single" w:sz="4" w:space="0" w:color="DDE1E8"/>
          <w:right w:val="single" w:sz="4" w:space="0" w:color="DDE1E8"/>
          <w:insideH w:val="single" w:sz="4" w:space="0" w:color="DDE1E8"/>
          <w:insideV w:val="single" w:sz="4" w:space="0" w:color="DDE1E8"/>
        </w:tblBorders>
      </w:tblPr>
      <w:tblGrid>
        <w:gridCol w:w="2640"/>
        <w:gridCol w:w="2640"/>
        <w:gridCol w:w="2640"/>
      </w:tblGrid>
      <w:tr>
        <w:trPr>
          <w:tblHeader w:val="on"/>
          <w:tblHeader w:val="true"/>
        </w:trPr>
        <w:tc>
          <w:tcPr>
            <w:vAlign w:val="top"/>
            <w:shd w:val="clear" w:color="auto" w:fill="005287"/>
          </w:tcPr>
          <w:p>
            <w:pPr>
              <w:pStyle w:val="Compact"/>
              <w:spacing w:after="0"/>
              <w:jc w:val="left"/>
            </w:pPr>
            <w:r>
              <w:rPr>
                <w:rFonts w:ascii="Roboto" w:hAnsi="Roboto" w:eastAsia="Roboto" w:cs="Roboto"/>
                <w:b/>
                <w:color w:val="FFFFFF"/>
                <w:sz w:val="17"/>
              </w:rPr>
              <w:t xml:space="preserve">Channel</w:t>
            </w:r>
          </w:p>
        </w:tc>
        <w:tc>
          <w:tcPr>
            <w:vAlign w:val="top"/>
            <w:shd w:val="clear" w:color="auto" w:fill="005287"/>
          </w:tcPr>
          <w:p>
            <w:pPr>
              <w:pStyle w:val="Compact"/>
              <w:spacing w:after="0"/>
              <w:jc w:val="left"/>
            </w:pPr>
            <w:r>
              <w:rPr>
                <w:rStyle w:val="VerbatimChar"/>
                <w:rFonts w:ascii="Roboto Mono" w:hAnsi="Roboto Mono" w:eastAsia="Roboto Mono" w:cs="Roboto Mono"/>
                <w:b/>
                <w:color w:val="FFFFFF"/>
                <w:sz w:val="17"/>
              </w:rPr>
              <w:t xml:space="preserve">projection_method</w:t>
            </w:r>
          </w:p>
        </w:tc>
        <w:tc>
          <w:tcPr>
            <w:vAlign w:val="top"/>
            <w:shd w:val="clear" w:color="auto" w:fill="005287"/>
          </w:tcPr>
          <w:p>
            <w:pPr>
              <w:pStyle w:val="Compact"/>
              <w:spacing w:after="0"/>
              <w:jc w:val="left"/>
            </w:pPr>
            <w:r>
              <w:rPr>
                <w:rFonts w:ascii="Roboto" w:hAnsi="Roboto" w:eastAsia="Roboto" w:cs="Roboto"/>
                <w:b/>
                <w:color w:val="FFFFFF"/>
                <w:sz w:val="17"/>
              </w:rPr>
              <w:t xml:space="preserve">Treatment</w:t>
            </w:r>
          </w:p>
        </w:tc>
      </w:tr>
      <w:tr>
        <w:tc>
          <w:tcPr>
            <w:vAlign w:val="top"/>
          </w:tcPr>
          <w:p>
            <w:pPr>
              <w:pStyle w:val="Compact"/>
              <w:spacing w:after="0"/>
              <w:jc w:val="left"/>
            </w:pPr>
            <w:r>
              <w:rPr>
                <w:rStyle w:val="VerbatimChar"/>
                <w:rFonts w:ascii="Roboto Mono" w:hAnsi="Roboto Mono" w:eastAsia="Roboto Mono" w:cs="Roboto Mono"/>
                <w:sz w:val="17"/>
              </w:rPr>
              <w:t xml:space="preserve">portfolio_holdings_YYYYMMDD.txt</w:t>
            </w:r>
          </w:p>
        </w:tc>
        <w:tc>
          <w:tcPr>
            <w:vAlign w:val="top"/>
          </w:tcPr>
          <w:p>
            <w:pPr>
              <w:pStyle w:val="Compact"/>
              <w:spacing w:after="0"/>
              <w:jc w:val="left"/>
            </w:pPr>
            <w:r>
              <w:rPr>
                <w:rStyle w:val="VerbatimChar"/>
                <w:rFonts w:ascii="Roboto Mono" w:hAnsi="Roboto Mono" w:eastAsia="Roboto Mono" w:cs="Roboto Mono"/>
                <w:sz w:val="17"/>
              </w:rPr>
              <w:t xml:space="preserve">drift</w:t>
            </w:r>
            <w:r>
              <w:rPr>
                <w:rFonts w:ascii="Roboto" w:hAnsi="Roboto" w:eastAsia="Roboto" w:cs="Roboto"/>
                <w:sz w:val="17"/>
              </w:rPr>
              <w:t xml:space="preserve"> </w:t>
            </w:r>
            <w:r>
              <w:rPr>
                <w:rFonts w:ascii="Roboto" w:hAnsi="Roboto" w:eastAsia="Roboto" w:cs="Roboto"/>
                <w:sz w:val="17"/>
              </w:rPr>
              <w:t xml:space="preserve">or</w:t>
            </w:r>
            <w:r>
              <w:rPr>
                <w:rFonts w:ascii="Roboto" w:hAnsi="Roboto" w:eastAsia="Roboto" w:cs="Roboto"/>
                <w:sz w:val="17"/>
              </w:rPr>
              <w:t xml:space="preserve"> </w:t>
            </w:r>
            <w:r>
              <w:rPr>
                <w:rStyle w:val="VerbatimChar"/>
                <w:rFonts w:ascii="Roboto Mono" w:hAnsi="Roboto Mono" w:eastAsia="Roboto Mono" w:cs="Roboto Mono"/>
                <w:sz w:val="17"/>
              </w:rPr>
              <w:t xml:space="preserve">filing</w:t>
            </w:r>
            <w:r>
              <w:rPr>
                <w:rFonts w:ascii="Roboto" w:hAnsi="Roboto" w:eastAsia="Roboto" w:cs="Roboto"/>
                <w:sz w:val="17"/>
              </w:rPr>
              <w:t xml:space="preserve">, per fund</w:t>
            </w:r>
          </w:p>
        </w:tc>
        <w:tc>
          <w:tcPr>
            <w:vAlign w:val="top"/>
          </w:tcPr>
          <w:p>
            <w:pPr>
              <w:pStyle w:val="Compact"/>
              <w:spacing w:after="0"/>
              <w:jc w:val="left"/>
            </w:pPr>
            <w:r>
              <w:rPr>
                <w:rFonts w:ascii="Roboto" w:hAnsi="Roboto" w:eastAsia="Roboto" w:cs="Roboto"/>
                <w:sz w:val="17"/>
              </w:rPr>
              <w:t xml:space="preserve">Weights and values updated through</w:t>
            </w:r>
            <w:r>
              <w:rPr>
                <w:rFonts w:ascii="Roboto" w:hAnsi="Roboto" w:eastAsia="Roboto" w:cs="Roboto"/>
                <w:sz w:val="17"/>
              </w:rPr>
              <w:t xml:space="preserve"> </w:t>
            </w:r>
            <w:r>
              <w:rPr>
                <w:rStyle w:val="VerbatimChar"/>
                <w:rFonts w:ascii="Roboto Mono" w:hAnsi="Roboto Mono" w:eastAsia="Roboto Mono" w:cs="Roboto Mono"/>
                <w:sz w:val="17"/>
              </w:rPr>
              <w:t xml:space="preserve">analysis_date</w:t>
            </w:r>
            <w:r>
              <w:rPr>
                <w:rFonts w:ascii="Roboto" w:hAnsi="Roboto" w:eastAsia="Roboto" w:cs="Roboto"/>
                <w:sz w:val="17"/>
              </w:rPr>
              <w:t xml:space="preserve"> </w:t>
            </w:r>
            <w:r>
              <w:rPr>
                <w:rFonts w:ascii="Roboto" w:hAnsi="Roboto" w:eastAsia="Roboto" w:cs="Roboto"/>
                <w:sz w:val="17"/>
              </w:rPr>
              <w:t xml:space="preserve">where the book’s holdings price (</w:t>
            </w:r>
            <w:r>
              <w:rPr>
                <w:rStyle w:val="VerbatimChar"/>
                <w:rFonts w:ascii="Roboto Mono" w:hAnsi="Roboto Mono" w:eastAsia="Roboto Mono" w:cs="Roboto Mono"/>
                <w:sz w:val="17"/>
              </w:rPr>
              <w:t xml:space="preserve">drift</w:t>
            </w:r>
            <w:r>
              <w:rPr>
                <w:rFonts w:ascii="Roboto" w:hAnsi="Roboto" w:eastAsia="Roboto" w:cs="Roboto"/>
                <w:sz w:val="17"/>
              </w:rPr>
              <w:t xml:space="preserve">); as-filed pass-through where pricing fails (</w:t>
            </w:r>
            <w:r>
              <w:rPr>
                <w:rStyle w:val="VerbatimChar"/>
                <w:rFonts w:ascii="Roboto Mono" w:hAnsi="Roboto Mono" w:eastAsia="Roboto Mono" w:cs="Roboto Mono"/>
                <w:sz w:val="17"/>
              </w:rPr>
              <w:t xml:space="preserve">filing</w:t>
            </w:r>
            <w:r>
              <w:rPr>
                <w:rFonts w:ascii="Roboto" w:hAnsi="Roboto" w:eastAsia="Roboto" w:cs="Roboto"/>
                <w:sz w:val="17"/>
              </w:rPr>
              <w:t xml:space="preserve">); aggregate remainder included</w:t>
            </w:r>
          </w:p>
        </w:tc>
      </w:tr>
      <w:tr>
        <w:tc>
          <w:tcPr>
            <w:vAlign w:val="top"/>
          </w:tcPr>
          <w:p>
            <w:pPr>
              <w:pStyle w:val="Compact"/>
              <w:spacing w:after="0"/>
              <w:jc w:val="left"/>
            </w:pPr>
            <w:r>
              <w:rPr>
                <w:rStyle w:val="VerbatimChar"/>
                <w:rFonts w:ascii="Roboto Mono" w:hAnsi="Roboto Mono" w:eastAsia="Roboto Mono" w:cs="Roboto Mono"/>
                <w:sz w:val="17"/>
              </w:rPr>
              <w:t xml:space="preserve">sqx_fund_holdings</w:t>
            </w:r>
          </w:p>
        </w:tc>
        <w:tc>
          <w:tcPr>
            <w:vAlign w:val="top"/>
          </w:tcPr>
          <w:p>
            <w:pPr>
              <w:pStyle w:val="Compact"/>
              <w:spacing w:after="0"/>
              <w:jc w:val="left"/>
            </w:pPr>
            <w:r>
              <w:rPr>
                <w:rStyle w:val="VerbatimChar"/>
                <w:rFonts w:ascii="Roboto Mono" w:hAnsi="Roboto Mono" w:eastAsia="Roboto Mono" w:cs="Roboto Mono"/>
                <w:sz w:val="17"/>
              </w:rPr>
              <w:t xml:space="preserve">filing</w:t>
            </w:r>
          </w:p>
        </w:tc>
        <w:tc>
          <w:tcPr>
            <w:vAlign w:val="top"/>
          </w:tcPr>
          <w:p>
            <w:pPr>
              <w:pStyle w:val="Compact"/>
              <w:spacing w:after="0"/>
              <w:jc w:val="left"/>
            </w:pPr>
            <w:r>
              <w:rPr>
                <w:rFonts w:ascii="Roboto" w:hAnsi="Roboto" w:eastAsia="Roboto" w:cs="Roboto"/>
                <w:sz w:val="17"/>
              </w:rPr>
              <w:t xml:space="preserve">Source weights and values as of</w:t>
            </w:r>
            <w:r>
              <w:rPr>
                <w:rFonts w:ascii="Roboto" w:hAnsi="Roboto" w:eastAsia="Roboto" w:cs="Roboto"/>
                <w:sz w:val="17"/>
              </w:rPr>
              <w:t xml:space="preserve"> </w:t>
            </w:r>
            <w:r>
              <w:rPr>
                <w:rStyle w:val="VerbatimChar"/>
                <w:rFonts w:ascii="Roboto Mono" w:hAnsi="Roboto Mono" w:eastAsia="Roboto Mono" w:cs="Roboto Mono"/>
                <w:sz w:val="17"/>
              </w:rPr>
              <w:t xml:space="preserve">data_source_date</w:t>
            </w:r>
            <w:r>
              <w:rPr>
                <w:rFonts w:ascii="Roboto" w:hAnsi="Roboto" w:eastAsia="Roboto" w:cs="Roboto"/>
                <w:sz w:val="17"/>
              </w:rPr>
              <w:t xml:space="preserve">; aggregate remainder omitted</w:t>
            </w:r>
          </w:p>
        </w:tc>
      </w:tr>
    </w:tbl>
    <w:p>
      <w:pPr>
        <w:pStyle w:val="BodyText"/>
      </w:pPr>
      <w:r>
        <w:rPr>
          <w:rStyle w:val="VerbatimChar"/>
          <w:rFonts w:ascii="Roboto Mono" w:hAnsi="Roboto Mono" w:eastAsia="Roboto Mono" w:cs="Roboto Mono"/>
        </w:rPr>
        <w:t xml:space="preserve">analysis_date</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data_source_date</w:t>
      </w:r>
      <w:r>
        <w:rPr>
          <w:rFonts w:ascii="Roboto" w:hAnsi="Roboto" w:eastAsia="Roboto" w:cs="Roboto"/>
        </w:rPr>
        <w:t xml:space="preserve">, and</w:t>
      </w:r>
      <w:r>
        <w:rPr>
          <w:rFonts w:ascii="Roboto" w:hAnsi="Roboto" w:eastAsia="Roboto" w:cs="Roboto"/>
        </w:rPr>
        <w:t xml:space="preserve"> </w:t>
      </w:r>
      <w:r>
        <w:rPr>
          <w:rStyle w:val="VerbatimChar"/>
          <w:rFonts w:ascii="Roboto Mono" w:hAnsi="Roboto Mono" w:eastAsia="Roboto Mono" w:cs="Roboto Mono"/>
        </w:rPr>
        <w:t xml:space="preserve">projection_method</w:t>
      </w:r>
      <w:r>
        <w:rPr>
          <w:rFonts w:ascii="Roboto" w:hAnsi="Roboto" w:eastAsia="Roboto" w:cs="Roboto"/>
        </w:rPr>
        <w:t xml:space="preserve"> </w:t>
      </w:r>
      <w:r>
        <w:rPr>
          <w:rFonts w:ascii="Roboto" w:hAnsi="Roboto" w:eastAsia="Roboto" w:cs="Roboto"/>
        </w:rPr>
        <w:t xml:space="preserve">identify the applicable time basis.</w:t>
      </w:r>
    </w:p>
    <w:p>
      <w:r>
        <w:rPr>
          <w:rFonts w:ascii="Roboto" w:hAnsi="Roboto" w:eastAsia="Roboto" w:cs="Roboto"/>
        </w:rPr>
        <w:pict>
          <v:rect style="width:0;height:1.5pt" o:hralign="center" o:hrstd="t" o:hr="t"/>
        </w:pict>
      </w:r>
    </w:p>
    <w:bookmarkEnd w:id="27"/>
    <w:bookmarkStart w:id="28" w:name="relationship-to-fund-liquidity"/>
    <w:p>
      <w:pPr>
        <w:pStyle w:val="Heading1"/>
      </w:pPr>
      <w:r>
        <w:rPr>
          <w:rFonts w:ascii="Roboto" w:hAnsi="Roboto" w:eastAsia="Roboto" w:cs="Roboto"/>
        </w:rPr>
        <w:t xml:space="preserve">Relationship to Fund Liquidity</w:t>
      </w:r>
    </w:p>
    <w:p>
      <w:pPr>
        <w:pStyle w:val="FirstParagraph"/>
      </w:pPr>
      <w:r>
        <w:rPr>
          <w:rFonts w:ascii="Roboto" w:hAnsi="Roboto" w:eastAsia="Roboto" w:cs="Roboto"/>
        </w:rPr>
        <w:t xml:space="preserve">Fund Liquidity’s</w:t>
      </w:r>
      <w:r>
        <w:rPr>
          <w:rFonts w:ascii="Roboto" w:hAnsi="Roboto" w:eastAsia="Roboto" w:cs="Roboto"/>
        </w:rPr>
        <w:t xml:space="preserve"> </w:t>
      </w:r>
      <w:r>
        <w:rPr>
          <w:rStyle w:val="VerbatimChar"/>
          <w:rFonts w:ascii="Roboto Mono" w:hAnsi="Roboto Mono" w:eastAsia="Roboto Mono" w:cs="Roboto Mono"/>
        </w:rPr>
        <w:t xml:space="preserve">net_assets</w:t>
      </w:r>
      <w:r>
        <w:rPr>
          <w:rFonts w:ascii="Roboto" w:hAnsi="Roboto" w:eastAsia="Roboto" w:cs="Roboto"/>
        </w:rPr>
        <w:t xml:space="preserve"> </w:t>
      </w:r>
      <w:r>
        <w:rPr>
          <w:rFonts w:ascii="Roboto" w:hAnsi="Roboto" w:eastAsia="Roboto" w:cs="Roboto"/>
        </w:rPr>
        <w:t xml:space="preserve">is the total reported portfolio value in its published</w:t>
      </w:r>
      <w:r>
        <w:rPr>
          <w:rFonts w:ascii="Roboto" w:hAnsi="Roboto" w:eastAsia="Roboto" w:cs="Roboto"/>
        </w:rPr>
        <w:t xml:space="preserve"> </w:t>
      </w:r>
      <w:r>
        <w:rPr>
          <w:rStyle w:val="VerbatimChar"/>
          <w:rFonts w:ascii="Roboto Mono" w:hAnsi="Roboto Mono" w:eastAsia="Roboto Mono" w:cs="Roboto Mono"/>
        </w:rPr>
        <w:t xml:space="preserve">currency</w:t>
      </w:r>
      <w:r>
        <w:rPr>
          <w:rFonts w:ascii="Roboto" w:hAnsi="Roboto" w:eastAsia="Roboto" w:cs="Roboto"/>
        </w:rPr>
        <w:t xml:space="preserve">. Portfolio Holdings’</w:t>
      </w:r>
      <w:r>
        <w:rPr>
          <w:rFonts w:ascii="Roboto" w:hAnsi="Roboto" w:eastAsia="Roboto" w:cs="Roboto"/>
        </w:rPr>
        <w:t xml:space="preserve"> </w:t>
      </w:r>
      <w:r>
        <w:rPr>
          <w:rStyle w:val="VerbatimChar"/>
          <w:rFonts w:ascii="Roboto Mono" w:hAnsi="Roboto Mono" w:eastAsia="Roboto Mono" w:cs="Roboto Mono"/>
        </w:rPr>
        <w:t xml:space="preserve">holding_value</w:t>
      </w:r>
      <w:r>
        <w:rPr>
          <w:rFonts w:ascii="Roboto" w:hAnsi="Roboto" w:eastAsia="Roboto" w:cs="Roboto"/>
        </w:rPr>
        <w:t xml:space="preserve"> </w:t>
      </w:r>
      <w:r>
        <w:rPr>
          <w:rFonts w:ascii="Roboto" w:hAnsi="Roboto" w:eastAsia="Roboto" w:cs="Roboto"/>
        </w:rPr>
        <w:t xml:space="preserve">covers a position in</w:t>
      </w:r>
      <w:r>
        <w:rPr>
          <w:rFonts w:ascii="Roboto" w:hAnsi="Roboto" w:eastAsia="Roboto" w:cs="Roboto"/>
        </w:rPr>
        <w:t xml:space="preserve"> </w:t>
      </w:r>
      <w:r>
        <w:rPr>
          <w:rStyle w:val="VerbatimChar"/>
          <w:rFonts w:ascii="Roboto Mono" w:hAnsi="Roboto Mono" w:eastAsia="Roboto Mono" w:cs="Roboto Mono"/>
        </w:rPr>
        <w:t xml:space="preserve">holding_value_currency</w:t>
      </w:r>
      <w:r>
        <w:rPr>
          <w:rFonts w:ascii="Roboto" w:hAnsi="Roboto" w:eastAsia="Roboto" w:cs="Roboto"/>
        </w:rPr>
        <w:t xml:space="preserve"> </w:t>
      </w:r>
      <w:r>
        <w:rPr>
          <w:rFonts w:ascii="Roboto" w:hAnsi="Roboto" w:eastAsia="Roboto" w:cs="Roboto"/>
        </w:rPr>
        <w:t xml:space="preserve">and receives a price-ratio update in the engine file.</w:t>
      </w:r>
    </w:p>
    <w:p>
      <w:pPr>
        <w:pStyle w:val="BodyText"/>
      </w:pPr>
      <w:r>
        <w:rPr>
          <w:rFonts w:ascii="Roboto" w:hAnsi="Roboto" w:eastAsia="Roboto" w:cs="Roboto"/>
        </w:rPr>
        <w:t xml:space="preserve">The sum of</w:t>
      </w:r>
      <w:r>
        <w:rPr>
          <w:rFonts w:ascii="Roboto" w:hAnsi="Roboto" w:eastAsia="Roboto" w:cs="Roboto"/>
        </w:rPr>
        <w:t xml:space="preserve"> </w:t>
      </w:r>
      <w:r>
        <w:rPr>
          <w:rStyle w:val="VerbatimChar"/>
          <w:rFonts w:ascii="Roboto Mono" w:hAnsi="Roboto Mono" w:eastAsia="Roboto Mono" w:cs="Roboto Mono"/>
        </w:rPr>
        <w:t xml:space="preserve">holding_value</w:t>
      </w:r>
      <w:r>
        <w:rPr>
          <w:rFonts w:ascii="Roboto" w:hAnsi="Roboto" w:eastAsia="Roboto" w:cs="Roboto"/>
        </w:rPr>
        <w:t xml:space="preserve"> </w:t>
      </w:r>
      <w:r>
        <w:rPr>
          <w:rFonts w:ascii="Roboto" w:hAnsi="Roboto" w:eastAsia="Roboto" w:cs="Roboto"/>
        </w:rPr>
        <w:t xml:space="preserve">can differ from</w:t>
      </w:r>
      <w:r>
        <w:rPr>
          <w:rFonts w:ascii="Roboto" w:hAnsi="Roboto" w:eastAsia="Roboto" w:cs="Roboto"/>
        </w:rPr>
        <w:t xml:space="preserve"> </w:t>
      </w:r>
      <w:r>
        <w:rPr>
          <w:rStyle w:val="VerbatimChar"/>
          <w:rFonts w:ascii="Roboto Mono" w:hAnsi="Roboto Mono" w:eastAsia="Roboto Mono" w:cs="Roboto Mono"/>
        </w:rPr>
        <w:t xml:space="preserve">net_assets</w:t>
      </w:r>
      <w:r>
        <w:rPr>
          <w:rFonts w:ascii="Roboto" w:hAnsi="Roboto" w:eastAsia="Roboto" w:cs="Roboto"/>
        </w:rPr>
        <w:t xml:space="preserve"> </w:t>
      </w:r>
      <w:r>
        <w:rPr>
          <w:rFonts w:ascii="Roboto" w:hAnsi="Roboto" w:eastAsia="Roboto" w:cs="Roboto"/>
        </w:rPr>
        <w:t xml:space="preserve">because of source dates, reporting currencies, rounding, leverage, aggregate treatment, and post-report market movement.</w:t>
      </w:r>
      <w:r>
        <w:rPr>
          <w:rFonts w:ascii="Roboto" w:hAnsi="Roboto" w:eastAsia="Roboto" w:cs="Roboto"/>
        </w:rPr>
        <w:t xml:space="preserve"> </w:t>
      </w:r>
      <w:r>
        <w:rPr>
          <w:rStyle w:val="VerbatimChar"/>
          <w:rFonts w:ascii="Roboto Mono" w:hAnsi="Roboto Mono" w:eastAsia="Roboto Mono" w:cs="Roboto Mono"/>
        </w:rPr>
        <w:t xml:space="preserve">portfolio_id</w:t>
      </w:r>
      <w:r>
        <w:rPr>
          <w:rFonts w:ascii="Roboto" w:hAnsi="Roboto" w:eastAsia="Roboto" w:cs="Roboto"/>
        </w:rPr>
        <w:t xml:space="preserve"> </w:t>
      </w:r>
      <w:r>
        <w:rPr>
          <w:rFonts w:ascii="Roboto" w:hAnsi="Roboto" w:eastAsia="Roboto" w:cs="Roboto"/>
        </w:rPr>
        <w:t xml:space="preserve">provides the link between the two products.</w:t>
      </w:r>
    </w:p>
    <w:p>
      <w:r>
        <w:rPr>
          <w:rFonts w:ascii="Roboto" w:hAnsi="Roboto" w:eastAsia="Roboto" w:cs="Roboto"/>
        </w:rPr>
        <w:pict>
          <v:rect style="width:0;height:1.5pt" o:hralign="center" o:hrstd="t" o:hr="t"/>
        </w:pict>
      </w:r>
    </w:p>
    <w:bookmarkEnd w:id="28"/>
    <w:bookmarkStart w:id="29" w:name="controls-and-limitations"/>
    <w:p>
      <w:pPr>
        <w:pStyle w:val="Heading1"/>
      </w:pPr>
      <w:r>
        <w:rPr>
          <w:rFonts w:ascii="Roboto" w:hAnsi="Roboto" w:eastAsia="Roboto" w:cs="Roboto"/>
        </w:rPr>
        <w:t xml:space="preserve">Controls and limitations</w:t>
      </w:r>
    </w:p>
    <w:p>
      <w:pPr>
        <w:pStyle w:val="FirstParagraph"/>
      </w:pPr>
      <w:r>
        <w:rPr>
          <w:rFonts w:ascii="Roboto" w:hAnsi="Roboto" w:eastAsia="Roboto" w:cs="Roboto"/>
        </w:rPr>
        <w:t xml:space="preserve">Identical dated inputs and configuration reproduce the output. Delivery checks cover portfolio identifiers, rank order, aggregate-row count, portfolio weight totals, ISIN format, value currency, FX direction, share-count change, and source dates.</w:t>
      </w:r>
    </w:p>
    <w:p>
      <w:pPr>
        <w:pStyle w:val="BodyText"/>
      </w:pPr>
      <w:r>
        <w:rPr>
          <w:rFonts w:ascii="Roboto" w:hAnsi="Roboto" w:eastAsia="Roboto" w:cs="Roboto"/>
        </w:rPr>
        <w:t xml:space="preserve">The projection measures passive market movement from the latest holdings report. Portfolio trading, creations, redemptions, derivatives activity, distributions, and fees can change the actual portfolio after</w:t>
      </w:r>
      <w:r>
        <w:rPr>
          <w:rFonts w:ascii="Roboto" w:hAnsi="Roboto" w:eastAsia="Roboto" w:cs="Roboto"/>
        </w:rPr>
        <w:t xml:space="preserve"> </w:t>
      </w:r>
      <w:r>
        <w:rPr>
          <w:rStyle w:val="VerbatimChar"/>
          <w:rFonts w:ascii="Roboto Mono" w:hAnsi="Roboto Mono" w:eastAsia="Roboto Mono" w:cs="Roboto Mono"/>
        </w:rPr>
        <w:t xml:space="preserve">data_source_date</w:t>
      </w:r>
      <w:r>
        <w:rPr>
          <w:rFonts w:ascii="Roboto" w:hAnsi="Roboto" w:eastAsia="Roboto" w:cs="Roboto"/>
        </w:rPr>
        <w:t xml:space="preserve">.</w:t>
      </w:r>
    </w:p>
    <w:p>
      <w:pPr>
        <w:pStyle w:val="BodyText"/>
      </w:pPr>
      <w:r>
        <w:rPr>
          <w:rFonts w:ascii="Roboto" w:hAnsi="Roboto" w:eastAsia="Roboto" w:cs="Roboto"/>
        </w:rPr>
        <w:t xml:space="preserve">The aggregate remainder uses the portfolio median ratio and provides limited detail about positions past the persisted depth. That median rule keeps unpriced positions in the portfolio, though their realized movement can differ. Price matching can use an earlier observation within the seven-day window. Corporate-action adjustments depend on available terms and supporting price evidence.</w:t>
      </w:r>
    </w:p>
    <w:p>
      <w:pPr>
        <w:pStyle w:val="BodyText"/>
      </w:pPr>
      <w:r>
        <w:rPr>
          <w:rStyle w:val="VerbatimChar"/>
          <w:rFonts w:ascii="Roboto Mono" w:hAnsi="Roboto Mono" w:eastAsia="Roboto Mono" w:cs="Roboto Mono"/>
        </w:rPr>
        <w:t xml:space="preserve">holding_value</w:t>
      </w:r>
      <w:r>
        <w:rPr>
          <w:rFonts w:ascii="Roboto" w:hAnsi="Roboto" w:eastAsia="Roboto" w:cs="Roboto"/>
        </w:rPr>
        <w:t xml:space="preserve"> </w:t>
      </w:r>
      <w:r>
        <w:rPr>
          <w:rFonts w:ascii="Roboto" w:hAnsi="Roboto" w:eastAsia="Roboto" w:cs="Roboto"/>
        </w:rPr>
        <w:t xml:space="preserve">uses source-date FX.</w:t>
      </w:r>
      <w:r>
        <w:rPr>
          <w:rFonts w:ascii="Roboto" w:hAnsi="Roboto" w:eastAsia="Roboto" w:cs="Roboto"/>
        </w:rPr>
        <w:t xml:space="preserve"> </w:t>
      </w:r>
      <w:r>
        <w:rPr>
          <w:rStyle w:val="VerbatimChar"/>
          <w:rFonts w:ascii="Roboto Mono" w:hAnsi="Roboto Mono" w:eastAsia="Roboto Mono" w:cs="Roboto Mono"/>
        </w:rPr>
        <w:t xml:space="preserve">num_shares_change_percent</w:t>
      </w:r>
      <w:r>
        <w:rPr>
          <w:rFonts w:ascii="Roboto" w:hAnsi="Roboto" w:eastAsia="Roboto" w:cs="Roboto"/>
        </w:rPr>
        <w:t xml:space="preserve"> </w:t>
      </w:r>
      <w:r>
        <w:rPr>
          <w:rFonts w:ascii="Roboto" w:hAnsi="Roboto" w:eastAsia="Roboto" w:cs="Roboto"/>
        </w:rPr>
        <w:t xml:space="preserve">ends with the newest source report. Asset and issuer classifications follow regulatory or sponsor evidence and SQX translations.</w:t>
      </w:r>
    </w:p>
    <w:p>
      <w:pPr>
        <w:pStyle w:val="BodyText"/>
      </w:pPr>
      <w:r>
        <w:rPr>
          <w:rFonts w:ascii="Roboto" w:hAnsi="Roboto" w:eastAsia="Roboto" w:cs="Roboto"/>
        </w:rPr>
        <w:t xml:space="preserve">The output supports portfolio analysis. Investment, trading, valuation, and credit decisions remain with the recipient.</w:t>
      </w:r>
    </w:p>
    <w:bookmarkEnd w:id="29"/>
    <w:bookmarkEnd w:id="30"/>
    <w:sectPr>
      <w:footerReference w:type="default" r:id="rId10"/>
      <w:pgMar w:top="1440" w:bottom="1440" w:left="1440" w:right="14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680" w:val="center"/>
        <w:tab w:pos="9360" w:val="right"/>
      </w:tabs>
      <w:spacing w:after="0"/>
    </w:pPr>
    <w:r>
      <w:rPr>
        <w:rFonts w:ascii="Roboto" w:hAnsi="Roboto" w:eastAsia="Roboto" w:cs="Roboto"/>
        <w:color w:val="005287"/>
        <w:sz w:val="16"/>
      </w:rPr>
      <w:t>SQX Portfolio Holdings: Technical Methodology</w:t>
    </w:r>
    <w:r>
      <w:rPr>
        <w:rFonts w:ascii="Roboto" w:hAnsi="Roboto" w:eastAsia="Roboto" w:cs="Roboto"/>
        <w:color w:val="005287"/>
        <w:sz w:val="16"/>
      </w:rPr>
      <w:tab/>
      <w:t>Uncontrolled when printed</w:t>
      <w:tab/>
      <w:t xml:space="preserve">Page </w:t>
    </w:r>
    <w:r>
      <w:rPr>
        <w:rFonts w:ascii="Roboto" w:hAnsi="Roboto" w:eastAsia="Roboto" w:cs="Roboto"/>
        <w:sz w:val="16"/>
      </w:rPr>
      <w:fldChar w:fldCharType="begin"/>
    </w:r>
    <w:r>
      <w:rPr>
        <w:rFonts w:ascii="Roboto" w:hAnsi="Roboto" w:eastAsia="Roboto" w:cs="Roboto"/>
        <w:sz w:val="16"/>
      </w:rPr>
      <w:instrText xml:space="preserve">PAGE</w:instrText>
    </w:r>
    <w:r>
      <w:rPr>
        <w:rFonts w:ascii="Roboto" w:hAnsi="Roboto" w:eastAsia="Roboto" w:cs="Roboto"/>
        <w:sz w:val="16"/>
      </w:rPr>
      <w:fldChar w:fldCharType="separate"/>
    </w:r>
    <w:r>
      <w:rPr>
        <w:rFonts w:ascii="Roboto" w:hAnsi="Roboto" w:eastAsia="Roboto" w:cs="Roboto"/>
        <w:sz w:val="16"/>
      </w:rPr>
      <w:t>1</w:t>
    </w:r>
    <w:r>
      <w:rPr>
        <w:rFonts w:ascii="Roboto" w:hAnsi="Roboto" w:eastAsia="Roboto" w:cs="Roboto"/>
        <w:sz w:val="16"/>
      </w:rPr>
      <w:fldChar w:fldCharType="end"/>
    </w:r>
    <w:r>
      <w:rPr>
        <w:rFonts w:ascii="Roboto" w:hAnsi="Roboto" w:eastAsia="Roboto" w:cs="Roboto"/>
        <w:color w:val="005287"/>
        <w:sz w:val="16"/>
      </w:rPr>
      <w:t xml:space="preserve"> of </w:t>
    </w:r>
    <w:r>
      <w:rPr>
        <w:rFonts w:ascii="Roboto" w:hAnsi="Roboto" w:eastAsia="Roboto" w:cs="Roboto"/>
        <w:sz w:val="16"/>
      </w:rPr>
      <w:fldChar w:fldCharType="begin"/>
    </w:r>
    <w:r>
      <w:rPr>
        <w:rFonts w:ascii="Roboto" w:hAnsi="Roboto" w:eastAsia="Roboto" w:cs="Roboto"/>
        <w:sz w:val="16"/>
      </w:rPr>
      <w:instrText xml:space="preserve">NUMPAGES</w:instrText>
    </w:r>
    <w:r>
      <w:rPr>
        <w:rFonts w:ascii="Roboto" w:hAnsi="Roboto" w:eastAsia="Roboto" w:cs="Roboto"/>
        <w:sz w:val="16"/>
      </w:rPr>
      <w:fldChar w:fldCharType="separate"/>
    </w:r>
    <w:r>
      <w:rPr>
        <w:rFonts w:ascii="Roboto" w:hAnsi="Roboto" w:eastAsia="Roboto" w:cs="Roboto"/>
        <w:sz w:val="16"/>
      </w:rPr>
      <w:t>1</w:t>
    </w:r>
    <w:r>
      <w:rPr>
        <w:rFonts w:ascii="Roboto" w:hAnsi="Roboto" w:eastAsia="Roboto" w:cs="Roboto"/>
        <w:sz w:val="16"/>
      </w:rPr>
      <w:fldChar w:fldCharType="end"/>
    </w:r>
    <w:r>
      <w:rPr>
        <w:rFonts w:ascii="Roboto" w:hAnsi="Roboto" w:eastAsia="Roboto" w:cs="Roboto"/>
        <w:color w:val="005287"/>
        <w:sz w:val="16"/>
      </w:rPr>
      <w:br/>
      <w:t>Classification: Internal</w: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40" w:line="283" w:lineRule="auto"/>
    </w:pPr>
    <w:rPr>
      <w:rFonts w:ascii="Roboto" w:hAnsi="Roboto" w:eastAsia="Roboto" w:cs="Roboto"/>
      <w:color w:val="000000"/>
      <w:sz w:val="20"/>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keepNext/>
      <w:spacing w:after="120" w:line="240" w:lineRule="auto" w:before="0"/>
      <w:contextualSpacing/>
      <w:jc w:val="center"/>
    </w:pPr>
    <w:rPr>
      <w:rFonts w:asciiTheme="majorHAnsi" w:cstheme="majorBidi" w:eastAsiaTheme="majorEastAsia" w:hAnsiTheme="majorHAnsi" w:ascii="Roboto" w:hAnsi="Roboto" w:eastAsia="Roboto" w:cs="Roboto"/>
      <w:b/>
      <w:color w:val="111827"/>
      <w:spacing w:val="-10"/>
      <w:kern w:val="28"/>
      <w:sz w:val="44"/>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Normal"/>
    <w:next w:val="BodyText"/>
    <w:link w:val="SubtitleChar"/>
    <w:uiPriority w:val="11"/>
    <w:qFormat/>
    <w:rsid w:val="00A10FD9"/>
    <w:pPr>
      <w:numPr>
        <w:ilvl w:val="1"/>
      </w:numPr>
    </w:pPr>
    <w:rPr>
      <w:rFonts w:cstheme="majorBidi" w:eastAsiaTheme="majorEastAsia"/>
      <w:color w:themeColor="text1" w:themeTint="A6" w:val="595959"/>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120" w:before="280"/>
      <w:outlineLvl w:val="0"/>
    </w:pPr>
    <w:rPr>
      <w:rFonts w:asciiTheme="majorHAnsi" w:cstheme="majorBidi" w:eastAsiaTheme="majorEastAsia" w:hAnsiTheme="majorHAnsi" w:ascii="Roboto" w:hAnsi="Roboto" w:eastAsia="Roboto" w:cs="Roboto"/>
      <w:b/>
      <w:color w:val="005287"/>
      <w:sz w:val="32"/>
      <w:szCs w:val="40"/>
    </w:rPr>
  </w:style>
  <w:style w:styleId="Heading2" w:type="paragraph">
    <w:name w:val="heading 2"/>
    <w:basedOn w:val="Normal"/>
    <w:next w:val="BodyText"/>
    <w:link w:val="Heading2Char"/>
    <w:uiPriority w:val="9"/>
    <w:semiHidden/>
    <w:unhideWhenUsed/>
    <w:qFormat/>
    <w:rsid w:val="00A10FD9"/>
    <w:pPr>
      <w:keepNext/>
      <w:keepLines/>
      <w:spacing w:after="120" w:before="280"/>
      <w:outlineLvl w:val="1"/>
    </w:pPr>
    <w:rPr>
      <w:rFonts w:asciiTheme="majorHAnsi" w:cstheme="majorBidi" w:eastAsiaTheme="majorEastAsia" w:hAnsiTheme="majorHAnsi" w:ascii="Roboto" w:hAnsi="Roboto" w:eastAsia="Roboto" w:cs="Roboto"/>
      <w:b/>
      <w:color w:val="1A6B8A"/>
      <w:sz w:val="24"/>
      <w:szCs w:val="32"/>
    </w:rPr>
  </w:style>
  <w:style w:styleId="Heading3" w:type="paragraph">
    <w:name w:val="heading 3"/>
    <w:basedOn w:val="Normal"/>
    <w:next w:val="BodyText"/>
    <w:link w:val="Heading3Char"/>
    <w:uiPriority w:val="9"/>
    <w:semiHidden/>
    <w:unhideWhenUsed/>
    <w:qFormat/>
    <w:rsid w:val="00A10FD9"/>
    <w:pPr>
      <w:keepNext/>
      <w:keepLines/>
      <w:spacing w:after="120" w:before="280"/>
      <w:outlineLvl w:val="2"/>
    </w:pPr>
    <w:rPr>
      <w:rFonts w:cstheme="majorBidi" w:eastAsiaTheme="majorEastAsia" w:ascii="Roboto" w:hAnsi="Roboto" w:eastAsia="Roboto" w:cs="Roboto"/>
      <w:b/>
      <w:color w:val="111827"/>
      <w:sz w:val="21"/>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Roboto Mono" w:hAnsi="Roboto Mono" w:eastAsia="Roboto Mono" w:cs="Roboto Mono"/>
      <w:b w:val="0"/>
      <w:color w:val="111827"/>
      <w:sz w:val="17"/>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rFonts w:ascii="Roboto" w:hAnsi="Roboto" w:eastAsia="Roboto" w:cs="Roboto"/>
      <w:b w:val="0"/>
      <w:color w:val="1A6B8A"/>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rPr>
      <w:rFonts w:ascii="Roboto Mono" w:hAnsi="Roboto Mono" w:eastAsia="Roboto Mono" w:cs="Roboto Mono"/>
      <w:b w:val="0"/>
      <w:color w:val="111827"/>
      <w:sz w:val="17"/>
    </w:r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SQX Portfolio Holdings: Technical Methodology</dc:title>
  <dc:creator>SQX</dc:creator>
  <cp:keywords/>
  <dcterms:created xsi:type="dcterms:W3CDTF">2000-01-01T00:00:00Z</dcterms:created>
  <dcterms:modified xsi:type="dcterms:W3CDTF">2000-01-01T00:00:00Z</dcterms:modified>
  <cp:lastModifiedBy>SQX</cp:lastModifiedBy>
</cp:coreProperties>
</file>

<file path=docProps/custom.xml><?xml version="1.0" encoding="utf-8"?>
<Properties xmlns="http://schemas.openxmlformats.org/officeDocument/2006/custom-properties" xmlns:vt="http://schemas.openxmlformats.org/officeDocument/2006/docPropsVTypes"/>
</file>